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A3762" w14:textId="77777777" w:rsidR="00471720" w:rsidRDefault="00471720" w:rsidP="003002FE">
      <w:pPr>
        <w:spacing w:after="0" w:line="480" w:lineRule="auto"/>
        <w:jc w:val="center"/>
        <w:rPr>
          <w:rFonts w:ascii="Times New Roman" w:hAnsi="Times New Roman" w:cs="Times New Roman"/>
          <w:sz w:val="24"/>
          <w:szCs w:val="24"/>
        </w:rPr>
      </w:pPr>
    </w:p>
    <w:p w14:paraId="75DB80C4" w14:textId="77777777" w:rsidR="00471720" w:rsidRDefault="00471720" w:rsidP="003002FE">
      <w:pPr>
        <w:spacing w:after="0" w:line="480" w:lineRule="auto"/>
        <w:jc w:val="center"/>
        <w:rPr>
          <w:rFonts w:ascii="Times New Roman" w:hAnsi="Times New Roman" w:cs="Times New Roman"/>
          <w:sz w:val="24"/>
          <w:szCs w:val="24"/>
        </w:rPr>
      </w:pPr>
    </w:p>
    <w:p w14:paraId="00E7DB10" w14:textId="77777777" w:rsidR="00471720" w:rsidRDefault="00471720" w:rsidP="003002FE">
      <w:pPr>
        <w:spacing w:after="0" w:line="480" w:lineRule="auto"/>
        <w:jc w:val="center"/>
        <w:rPr>
          <w:rFonts w:ascii="Times New Roman" w:hAnsi="Times New Roman" w:cs="Times New Roman"/>
          <w:sz w:val="24"/>
          <w:szCs w:val="24"/>
        </w:rPr>
      </w:pPr>
    </w:p>
    <w:p w14:paraId="59CBB207" w14:textId="77777777" w:rsidR="00471720" w:rsidRDefault="00471720" w:rsidP="003002FE">
      <w:pPr>
        <w:spacing w:after="0" w:line="480" w:lineRule="auto"/>
        <w:jc w:val="center"/>
        <w:rPr>
          <w:rFonts w:ascii="Times New Roman" w:hAnsi="Times New Roman" w:cs="Times New Roman"/>
          <w:sz w:val="24"/>
          <w:szCs w:val="24"/>
        </w:rPr>
      </w:pPr>
    </w:p>
    <w:p w14:paraId="76799FBE" w14:textId="77777777" w:rsidR="00471720" w:rsidRDefault="00471720" w:rsidP="003002FE">
      <w:pPr>
        <w:spacing w:after="0" w:line="480" w:lineRule="auto"/>
        <w:jc w:val="center"/>
        <w:rPr>
          <w:rFonts w:ascii="Times New Roman" w:hAnsi="Times New Roman" w:cs="Times New Roman"/>
          <w:sz w:val="24"/>
          <w:szCs w:val="24"/>
        </w:rPr>
      </w:pPr>
    </w:p>
    <w:p w14:paraId="32F2223A" w14:textId="77777777" w:rsidR="00471720" w:rsidRDefault="00471720" w:rsidP="003002FE">
      <w:pPr>
        <w:spacing w:after="0" w:line="480" w:lineRule="auto"/>
        <w:jc w:val="center"/>
        <w:rPr>
          <w:rFonts w:ascii="Times New Roman" w:hAnsi="Times New Roman" w:cs="Times New Roman"/>
          <w:sz w:val="24"/>
          <w:szCs w:val="24"/>
        </w:rPr>
      </w:pPr>
    </w:p>
    <w:p w14:paraId="0E17DB9F" w14:textId="77777777" w:rsidR="00471720" w:rsidRDefault="00471720" w:rsidP="003002FE">
      <w:pPr>
        <w:spacing w:after="0" w:line="480" w:lineRule="auto"/>
        <w:jc w:val="center"/>
        <w:rPr>
          <w:rFonts w:ascii="Times New Roman" w:hAnsi="Times New Roman" w:cs="Times New Roman"/>
          <w:sz w:val="24"/>
          <w:szCs w:val="24"/>
        </w:rPr>
      </w:pPr>
    </w:p>
    <w:p w14:paraId="4451205A" w14:textId="2B0EB4F4" w:rsidR="00BD32A1" w:rsidRDefault="00AC3FF9" w:rsidP="00BD32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Evaluation Plan</w:t>
      </w:r>
    </w:p>
    <w:p w14:paraId="7753025F" w14:textId="77777777" w:rsidR="00471720" w:rsidRDefault="00C6358B" w:rsidP="00BD32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Jennifer Jimenez</w:t>
      </w:r>
    </w:p>
    <w:p w14:paraId="468EE302" w14:textId="77777777" w:rsidR="00471720" w:rsidRDefault="00C6358B" w:rsidP="00BD32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 NUR-590</w:t>
      </w:r>
    </w:p>
    <w:p w14:paraId="72A79E2A" w14:textId="440ADB37" w:rsidR="00C6358B" w:rsidRDefault="00AC3FF9" w:rsidP="00BD32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November 5</w:t>
      </w:r>
      <w:r w:rsidR="00C6358B">
        <w:rPr>
          <w:rFonts w:ascii="Times New Roman" w:hAnsi="Times New Roman" w:cs="Times New Roman"/>
          <w:sz w:val="24"/>
          <w:szCs w:val="24"/>
        </w:rPr>
        <w:t>, 2019</w:t>
      </w:r>
    </w:p>
    <w:p w14:paraId="236B9451" w14:textId="77777777" w:rsidR="003A3327" w:rsidRDefault="003A3327" w:rsidP="003002FE">
      <w:pPr>
        <w:spacing w:after="0" w:line="480" w:lineRule="auto"/>
        <w:rPr>
          <w:rFonts w:ascii="Times New Roman" w:hAnsi="Times New Roman" w:cs="Times New Roman"/>
          <w:sz w:val="24"/>
          <w:szCs w:val="24"/>
        </w:rPr>
      </w:pPr>
    </w:p>
    <w:p w14:paraId="71259FFE" w14:textId="77777777" w:rsidR="003002FE" w:rsidRDefault="003002FE">
      <w:pPr>
        <w:rPr>
          <w:rFonts w:ascii="Times New Roman" w:hAnsi="Times New Roman" w:cs="Times New Roman"/>
          <w:sz w:val="24"/>
          <w:szCs w:val="24"/>
        </w:rPr>
      </w:pPr>
      <w:r>
        <w:rPr>
          <w:rFonts w:ascii="Times New Roman" w:hAnsi="Times New Roman" w:cs="Times New Roman"/>
          <w:sz w:val="24"/>
          <w:szCs w:val="24"/>
        </w:rPr>
        <w:br w:type="page"/>
      </w:r>
    </w:p>
    <w:p w14:paraId="661E3C1D" w14:textId="77777777" w:rsidR="00AC3FF9" w:rsidRDefault="00AC3FF9" w:rsidP="00AC3F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Evaluation Plan</w:t>
      </w:r>
    </w:p>
    <w:p w14:paraId="0A169F4A" w14:textId="6CCB8135" w:rsidR="00AC3FF9" w:rsidRDefault="00AC3FF9" w:rsidP="00AC3FF9">
      <w:pPr>
        <w:spacing w:line="480" w:lineRule="auto"/>
        <w:rPr>
          <w:rFonts w:ascii="Times New Roman" w:hAnsi="Times New Roman" w:cs="Times New Roman"/>
          <w:sz w:val="24"/>
          <w:szCs w:val="24"/>
        </w:rPr>
      </w:pPr>
      <w:r>
        <w:rPr>
          <w:rFonts w:ascii="Times New Roman" w:hAnsi="Times New Roman" w:cs="Times New Roman"/>
          <w:sz w:val="24"/>
          <w:szCs w:val="24"/>
        </w:rPr>
        <w:tab/>
      </w:r>
      <w:r w:rsidRPr="00432973">
        <w:rPr>
          <w:rFonts w:ascii="Times New Roman" w:hAnsi="Times New Roman" w:cs="Times New Roman"/>
          <w:sz w:val="24"/>
          <w:szCs w:val="24"/>
        </w:rPr>
        <w:t xml:space="preserve">The </w:t>
      </w:r>
      <w:r w:rsidR="00846E3C" w:rsidRPr="00B61516">
        <w:rPr>
          <w:rFonts w:ascii="Times New Roman" w:hAnsi="Times New Roman" w:cs="Times New Roman"/>
          <w:sz w:val="24"/>
          <w:szCs w:val="24"/>
        </w:rPr>
        <w:t xml:space="preserve">diabetes self-management education </w:t>
      </w:r>
      <w:r w:rsidR="00846E3C">
        <w:rPr>
          <w:rFonts w:ascii="Times New Roman" w:hAnsi="Times New Roman" w:cs="Times New Roman"/>
          <w:sz w:val="24"/>
          <w:szCs w:val="24"/>
        </w:rPr>
        <w:t>(</w:t>
      </w:r>
      <w:r w:rsidRPr="00432973">
        <w:rPr>
          <w:rFonts w:ascii="Times New Roman" w:hAnsi="Times New Roman" w:cs="Times New Roman"/>
          <w:sz w:val="24"/>
          <w:szCs w:val="24"/>
        </w:rPr>
        <w:t>DSME</w:t>
      </w:r>
      <w:r w:rsidR="00846E3C">
        <w:rPr>
          <w:rFonts w:ascii="Times New Roman" w:hAnsi="Times New Roman" w:cs="Times New Roman"/>
          <w:sz w:val="24"/>
          <w:szCs w:val="24"/>
        </w:rPr>
        <w:t>)</w:t>
      </w:r>
      <w:r w:rsidRPr="00432973">
        <w:rPr>
          <w:rFonts w:ascii="Times New Roman" w:hAnsi="Times New Roman" w:cs="Times New Roman"/>
          <w:sz w:val="24"/>
          <w:szCs w:val="24"/>
        </w:rPr>
        <w:t xml:space="preserve"> assessment scale was used to measure the outcome data since it will enable the hospitals' management to determine whether the project is performing below or has met the expectations. "Excellent" and "Satisfactory" responses will indicate whether the project is successful. An assessment framework explains constructs as well as measures the connection between various constructs (Pearce et al., 2015). The hospital's management will be able to identify constructs that are working and the ones that are not. Also, the assessment scale will enable the hospital to determine the reliability and validity of the </w:t>
      </w:r>
      <w:r>
        <w:rPr>
          <w:rFonts w:ascii="Times New Roman" w:hAnsi="Times New Roman" w:cs="Times New Roman"/>
          <w:sz w:val="24"/>
          <w:szCs w:val="24"/>
        </w:rPr>
        <w:t>intervention. Patient and nurse</w:t>
      </w:r>
      <w:r w:rsidR="003F055A">
        <w:rPr>
          <w:rFonts w:ascii="Times New Roman" w:hAnsi="Times New Roman" w:cs="Times New Roman"/>
          <w:sz w:val="24"/>
          <w:szCs w:val="24"/>
        </w:rPr>
        <w:t xml:space="preserve"> </w:t>
      </w:r>
      <w:r w:rsidRPr="00432973">
        <w:rPr>
          <w:rFonts w:ascii="Times New Roman" w:hAnsi="Times New Roman" w:cs="Times New Roman"/>
          <w:sz w:val="24"/>
          <w:szCs w:val="24"/>
        </w:rPr>
        <w:t>responses should reflect on the ability of the intervention to ensure quality care delivery to patients with diabetes. Responses used for the analysis will be obtained from electronic questionnaires that are reliable methods of data collection since they contain instruments that need to be measured. Electronic questionnaires ensure that participants participate in the survey through their internet-connected computers; therefore, it is feasible for a large sample (Ponto, 2015).</w:t>
      </w:r>
    </w:p>
    <w:p w14:paraId="43818705" w14:textId="20E98B6A" w:rsidR="00AC3FF9" w:rsidRPr="00432973" w:rsidRDefault="00AC3FF9" w:rsidP="00AC3FF9">
      <w:pPr>
        <w:spacing w:line="480" w:lineRule="auto"/>
        <w:ind w:firstLine="720"/>
        <w:rPr>
          <w:rFonts w:ascii="Times New Roman" w:hAnsi="Times New Roman" w:cs="Times New Roman"/>
          <w:sz w:val="24"/>
          <w:szCs w:val="24"/>
        </w:rPr>
      </w:pPr>
      <w:r w:rsidRPr="00432973">
        <w:rPr>
          <w:rFonts w:ascii="Times New Roman" w:hAnsi="Times New Roman" w:cs="Times New Roman"/>
          <w:sz w:val="24"/>
          <w:szCs w:val="24"/>
        </w:rPr>
        <w:t xml:space="preserve">Moreover, outcome measures will determine the level of goal achievement since the hospital will determine the ones that have succeeded and the ones that have failed. The intervention will only be deemed successful in case the outcome measures are positive. Negative outcome measures will show failure, and the project will have to be repeated. The most crucial measure related to this project will include data on readmission rates of patients with diabetes. In this regard, a reduction in the number of readmission rates within the first three months will indicate that the intervention was successful and vice versa. Also, measures of </w:t>
      </w:r>
      <w:proofErr w:type="gramStart"/>
      <w:r w:rsidRPr="00432973">
        <w:rPr>
          <w:rFonts w:ascii="Times New Roman" w:hAnsi="Times New Roman" w:cs="Times New Roman"/>
          <w:sz w:val="24"/>
          <w:szCs w:val="24"/>
        </w:rPr>
        <w:t>patients'</w:t>
      </w:r>
      <w:proofErr w:type="gramEnd"/>
      <w:r w:rsidRPr="00432973">
        <w:rPr>
          <w:rFonts w:ascii="Times New Roman" w:hAnsi="Times New Roman" w:cs="Times New Roman"/>
          <w:sz w:val="24"/>
          <w:szCs w:val="24"/>
        </w:rPr>
        <w:t xml:space="preserve"> and nurses' satisfaction will be used to determine the success of the intervention. Therefore, results </w:t>
      </w:r>
      <w:r w:rsidRPr="00432973">
        <w:rPr>
          <w:rFonts w:ascii="Times New Roman" w:hAnsi="Times New Roman" w:cs="Times New Roman"/>
          <w:sz w:val="24"/>
          <w:szCs w:val="24"/>
        </w:rPr>
        <w:lastRenderedPageBreak/>
        <w:t xml:space="preserve">that most patients and nurses are satisfied with the intervention will depict that the intervention has worked and vice versa.  </w:t>
      </w:r>
    </w:p>
    <w:p w14:paraId="5B259BBD" w14:textId="77777777" w:rsidR="00AC3FF9" w:rsidRDefault="00AC3FF9" w:rsidP="00AC3FF9">
      <w:pPr>
        <w:spacing w:line="480" w:lineRule="auto"/>
        <w:rPr>
          <w:rFonts w:ascii="Times New Roman" w:hAnsi="Times New Roman" w:cs="Times New Roman"/>
          <w:sz w:val="24"/>
          <w:szCs w:val="24"/>
        </w:rPr>
      </w:pPr>
      <w:r w:rsidRPr="00432973">
        <w:rPr>
          <w:rFonts w:ascii="Times New Roman" w:hAnsi="Times New Roman" w:cs="Times New Roman"/>
          <w:sz w:val="24"/>
          <w:szCs w:val="24"/>
        </w:rPr>
        <w:t xml:space="preserve"> </w:t>
      </w:r>
      <w:r>
        <w:rPr>
          <w:rFonts w:ascii="Times New Roman" w:hAnsi="Times New Roman" w:cs="Times New Roman"/>
          <w:sz w:val="24"/>
          <w:szCs w:val="24"/>
        </w:rPr>
        <w:tab/>
      </w:r>
      <w:r w:rsidRPr="00432973">
        <w:rPr>
          <w:rFonts w:ascii="Times New Roman" w:hAnsi="Times New Roman" w:cs="Times New Roman"/>
          <w:sz w:val="24"/>
          <w:szCs w:val="24"/>
        </w:rPr>
        <w:t>In addition, the validity of the outcome measures will be based on patient-centered data collection. In this regard, the instruments used should have the capability to collect data that reflect on care quality and patient satisfaction. The data collected should be able to show that the intervention has either improved or had no significant impact on care outcomes. Patient-centered outcomes are essential since they address diverse clinical needs (Francis et al., 2016). The reliability of the instruments should reflect on the consistency of outcome measures. Therefore, outcome measures should not vary significantly. For example, the instruments should ensure that a patient who is confident in the intervention's ability to reduce readmission rates feel less satisfied. Lastly, the applicability of the instruments should be portrayed in their capabilities to hold true in a real clinical setting. The hospital should promote medical outcomes and customer satisfaction.</w:t>
      </w:r>
    </w:p>
    <w:p w14:paraId="4CD48218" w14:textId="00D1D205" w:rsidR="00AC3FF9" w:rsidRDefault="00AC3FF9" w:rsidP="00AC3FF9">
      <w:pPr>
        <w:spacing w:line="480" w:lineRule="auto"/>
        <w:ind w:firstLine="720"/>
        <w:rPr>
          <w:rFonts w:ascii="Times New Roman" w:hAnsi="Times New Roman" w:cs="Times New Roman"/>
          <w:sz w:val="24"/>
          <w:szCs w:val="24"/>
        </w:rPr>
      </w:pPr>
      <w:r w:rsidRPr="00432973">
        <w:rPr>
          <w:rFonts w:ascii="Times New Roman" w:hAnsi="Times New Roman" w:cs="Times New Roman"/>
          <w:sz w:val="24"/>
          <w:szCs w:val="24"/>
        </w:rPr>
        <w:t>Lastly, the hospital will repeat the intervention process if it does provide positive outcomes. If the intervention does not reduce readmission rates, the hospital will have to re-train the nurse educator on diabetes self-management skills. These nurses will be educated on diagnostic, discharge, and communication strategies that will improve the efficacy of the intervention. The ed</w:t>
      </w:r>
      <w:r w:rsidR="003F055A">
        <w:rPr>
          <w:rFonts w:ascii="Times New Roman" w:hAnsi="Times New Roman" w:cs="Times New Roman"/>
          <w:sz w:val="24"/>
          <w:szCs w:val="24"/>
        </w:rPr>
        <w:t>ucation process will be repeated</w:t>
      </w:r>
      <w:bookmarkStart w:id="0" w:name="_GoBack"/>
      <w:bookmarkEnd w:id="0"/>
      <w:r w:rsidRPr="00432973">
        <w:rPr>
          <w:rFonts w:ascii="Times New Roman" w:hAnsi="Times New Roman" w:cs="Times New Roman"/>
          <w:sz w:val="24"/>
          <w:szCs w:val="24"/>
        </w:rPr>
        <w:t xml:space="preserve">, and subsequent failures will lead to termination of the project.  </w:t>
      </w:r>
    </w:p>
    <w:p w14:paraId="0F8FA3CB" w14:textId="77777777" w:rsidR="00AC3FF9" w:rsidRDefault="00AC3FF9" w:rsidP="00AC3FF9">
      <w:pPr>
        <w:spacing w:line="480" w:lineRule="auto"/>
        <w:rPr>
          <w:rFonts w:ascii="Times New Roman" w:hAnsi="Times New Roman" w:cs="Times New Roman"/>
          <w:sz w:val="24"/>
          <w:szCs w:val="24"/>
        </w:rPr>
      </w:pPr>
    </w:p>
    <w:p w14:paraId="438B36F2" w14:textId="77777777" w:rsidR="00AC3FF9" w:rsidRDefault="00AC3FF9" w:rsidP="00AC3FF9">
      <w:pPr>
        <w:spacing w:line="480" w:lineRule="auto"/>
        <w:rPr>
          <w:rFonts w:ascii="Times New Roman" w:hAnsi="Times New Roman" w:cs="Times New Roman"/>
          <w:sz w:val="24"/>
          <w:szCs w:val="24"/>
        </w:rPr>
      </w:pPr>
    </w:p>
    <w:p w14:paraId="4EC7AAAB" w14:textId="77777777" w:rsidR="00AC3FF9" w:rsidRDefault="00AC3FF9" w:rsidP="00AC3F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CEB4A45" w14:textId="77777777" w:rsidR="00AC3FF9" w:rsidRDefault="00AC3FF9" w:rsidP="00AC3FF9">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Francis, F. O., </w:t>
      </w:r>
      <w:proofErr w:type="spellStart"/>
      <w:r>
        <w:rPr>
          <w:rFonts w:ascii="Times New Roman" w:hAnsi="Times New Roman" w:cs="Times New Roman"/>
          <w:sz w:val="24"/>
          <w:szCs w:val="24"/>
        </w:rPr>
        <w:t>McPheeters</w:t>
      </w:r>
      <w:proofErr w:type="spellEnd"/>
      <w:r>
        <w:rPr>
          <w:rFonts w:ascii="Times New Roman" w:hAnsi="Times New Roman" w:cs="Times New Roman"/>
          <w:sz w:val="24"/>
          <w:szCs w:val="24"/>
        </w:rPr>
        <w:t xml:space="preserve">, L. M., </w:t>
      </w:r>
      <w:proofErr w:type="spellStart"/>
      <w:r>
        <w:rPr>
          <w:rFonts w:ascii="Times New Roman" w:hAnsi="Times New Roman" w:cs="Times New Roman"/>
          <w:sz w:val="24"/>
          <w:szCs w:val="24"/>
        </w:rPr>
        <w:t>Noud</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Penson</w:t>
      </w:r>
      <w:proofErr w:type="spellEnd"/>
      <w:r>
        <w:rPr>
          <w:rFonts w:ascii="Times New Roman" w:hAnsi="Times New Roman" w:cs="Times New Roman"/>
          <w:sz w:val="24"/>
          <w:szCs w:val="24"/>
        </w:rPr>
        <w:t xml:space="preserve">, F. D., &amp; </w:t>
      </w:r>
      <w:proofErr w:type="spellStart"/>
      <w:r>
        <w:rPr>
          <w:rFonts w:ascii="Times New Roman" w:hAnsi="Times New Roman" w:cs="Times New Roman"/>
          <w:sz w:val="24"/>
          <w:szCs w:val="24"/>
        </w:rPr>
        <w:t>Feurer</w:t>
      </w:r>
      <w:proofErr w:type="spellEnd"/>
      <w:r>
        <w:rPr>
          <w:rFonts w:ascii="Times New Roman" w:hAnsi="Times New Roman" w:cs="Times New Roman"/>
          <w:sz w:val="24"/>
          <w:szCs w:val="24"/>
        </w:rPr>
        <w:t>, D. A. (2016).</w:t>
      </w:r>
      <w:proofErr w:type="gramEnd"/>
      <w:r>
        <w:rPr>
          <w:rFonts w:ascii="Times New Roman" w:hAnsi="Times New Roman" w:cs="Times New Roman"/>
          <w:sz w:val="24"/>
          <w:szCs w:val="24"/>
        </w:rPr>
        <w:t xml:space="preserve"> Checklist to</w:t>
      </w:r>
    </w:p>
    <w:p w14:paraId="498D2556" w14:textId="77777777" w:rsidR="00AC3FF9" w:rsidRDefault="00AC3FF9" w:rsidP="00AC3FF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operationalize</w:t>
      </w:r>
      <w:proofErr w:type="gramEnd"/>
      <w:r>
        <w:rPr>
          <w:rFonts w:ascii="Times New Roman" w:hAnsi="Times New Roman" w:cs="Times New Roman"/>
          <w:sz w:val="24"/>
          <w:szCs w:val="24"/>
        </w:rPr>
        <w:t xml:space="preserve"> measurement characteristics of patient-recorded outcome measures.</w:t>
      </w:r>
    </w:p>
    <w:p w14:paraId="46DE4024" w14:textId="77777777" w:rsidR="00AC3FF9" w:rsidRDefault="00AC3FF9" w:rsidP="00AC3FF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Pr="00D83CC4">
        <w:rPr>
          <w:rFonts w:ascii="Times New Roman" w:hAnsi="Times New Roman" w:cs="Times New Roman"/>
          <w:i/>
          <w:sz w:val="24"/>
          <w:szCs w:val="24"/>
        </w:rPr>
        <w:t>Systematic Reviews Journals,</w:t>
      </w:r>
      <w:r>
        <w:rPr>
          <w:rFonts w:ascii="Times New Roman" w:hAnsi="Times New Roman" w:cs="Times New Roman"/>
          <w:sz w:val="24"/>
          <w:szCs w:val="24"/>
        </w:rPr>
        <w:t xml:space="preserve"> 5(129), 1-11.</w:t>
      </w:r>
      <w:proofErr w:type="gramEnd"/>
      <w:r>
        <w:rPr>
          <w:rFonts w:ascii="Times New Roman" w:hAnsi="Times New Roman" w:cs="Times New Roman"/>
          <w:sz w:val="24"/>
          <w:szCs w:val="24"/>
        </w:rPr>
        <w:t xml:space="preserve"> </w:t>
      </w:r>
    </w:p>
    <w:p w14:paraId="574F6E22" w14:textId="77777777" w:rsidR="00AC3FF9" w:rsidRDefault="00AC3FF9" w:rsidP="00AC3FF9">
      <w:pPr>
        <w:spacing w:line="480" w:lineRule="auto"/>
        <w:rPr>
          <w:rFonts w:ascii="Times New Roman" w:hAnsi="Times New Roman" w:cs="Times New Roman"/>
          <w:sz w:val="24"/>
          <w:szCs w:val="24"/>
        </w:rPr>
      </w:pPr>
      <w:r>
        <w:rPr>
          <w:rFonts w:ascii="Times New Roman" w:hAnsi="Times New Roman" w:cs="Times New Roman"/>
          <w:sz w:val="24"/>
          <w:szCs w:val="24"/>
        </w:rPr>
        <w:t xml:space="preserve">Pearce, J., Edwards, D., </w:t>
      </w:r>
      <w:proofErr w:type="spellStart"/>
      <w:r>
        <w:rPr>
          <w:rFonts w:ascii="Times New Roman" w:hAnsi="Times New Roman" w:cs="Times New Roman"/>
          <w:sz w:val="24"/>
          <w:szCs w:val="24"/>
        </w:rPr>
        <w:t>Fraillon</w:t>
      </w:r>
      <w:proofErr w:type="spellEnd"/>
      <w:r>
        <w:rPr>
          <w:rFonts w:ascii="Times New Roman" w:hAnsi="Times New Roman" w:cs="Times New Roman"/>
          <w:sz w:val="24"/>
          <w:szCs w:val="24"/>
        </w:rPr>
        <w:t xml:space="preserve">, J., Coates, H., Canny, J. B., &amp; Wilkinson, D. (2015). The </w:t>
      </w:r>
    </w:p>
    <w:p w14:paraId="1D40EC04" w14:textId="77777777" w:rsidR="00AC3FF9" w:rsidRDefault="00AC3FF9" w:rsidP="00AC3FF9">
      <w:pPr>
        <w:spacing w:line="480" w:lineRule="auto"/>
        <w:rPr>
          <w:rFonts w:ascii="Times New Roman" w:hAnsi="Times New Roman" w:cs="Times New Roman"/>
          <w:sz w:val="24"/>
          <w:szCs w:val="24"/>
        </w:rPr>
      </w:pPr>
      <w:r>
        <w:rPr>
          <w:rFonts w:ascii="Times New Roman" w:hAnsi="Times New Roman" w:cs="Times New Roman"/>
          <w:sz w:val="24"/>
          <w:szCs w:val="24"/>
        </w:rPr>
        <w:tab/>
        <w:t>Rationale for and use of assessment frameworks: Improving assessment and reporting</w:t>
      </w:r>
    </w:p>
    <w:p w14:paraId="5EAB0AE0" w14:textId="77777777" w:rsidR="00AC3FF9" w:rsidRDefault="00AC3FF9" w:rsidP="00AC3FF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Quality in medical education.</w:t>
      </w:r>
      <w:proofErr w:type="gramEnd"/>
      <w:r>
        <w:rPr>
          <w:rFonts w:ascii="Times New Roman" w:hAnsi="Times New Roman" w:cs="Times New Roman"/>
          <w:sz w:val="24"/>
          <w:szCs w:val="24"/>
        </w:rPr>
        <w:t xml:space="preserve"> </w:t>
      </w:r>
      <w:proofErr w:type="gramStart"/>
      <w:r w:rsidRPr="00453FA7">
        <w:rPr>
          <w:rFonts w:ascii="Times New Roman" w:hAnsi="Times New Roman" w:cs="Times New Roman"/>
          <w:i/>
          <w:sz w:val="24"/>
          <w:szCs w:val="24"/>
        </w:rPr>
        <w:t>Perspectives on Medical Education</w:t>
      </w:r>
      <w:r>
        <w:rPr>
          <w:rFonts w:ascii="Times New Roman" w:hAnsi="Times New Roman" w:cs="Times New Roman"/>
          <w:sz w:val="24"/>
          <w:szCs w:val="24"/>
        </w:rPr>
        <w:t>, 4(1), 110-118.</w:t>
      </w:r>
      <w:proofErr w:type="gramEnd"/>
      <w:r>
        <w:rPr>
          <w:rFonts w:ascii="Times New Roman" w:hAnsi="Times New Roman" w:cs="Times New Roman"/>
          <w:sz w:val="24"/>
          <w:szCs w:val="24"/>
        </w:rPr>
        <w:t xml:space="preserve"> </w:t>
      </w:r>
    </w:p>
    <w:p w14:paraId="62CD20C5" w14:textId="77777777" w:rsidR="00AC3FF9" w:rsidRPr="008A543A" w:rsidRDefault="00AC3FF9" w:rsidP="00AC3FF9">
      <w:pPr>
        <w:spacing w:line="480" w:lineRule="auto"/>
        <w:rPr>
          <w:rFonts w:ascii="Times New Roman" w:hAnsi="Times New Roman" w:cs="Times New Roman"/>
          <w:i/>
          <w:sz w:val="24"/>
          <w:szCs w:val="24"/>
        </w:rPr>
      </w:pPr>
      <w:r>
        <w:rPr>
          <w:rFonts w:ascii="Times New Roman" w:hAnsi="Times New Roman" w:cs="Times New Roman"/>
          <w:sz w:val="24"/>
          <w:szCs w:val="24"/>
        </w:rPr>
        <w:t xml:space="preserve">Ponto, J. (2015). </w:t>
      </w:r>
      <w:proofErr w:type="gramStart"/>
      <w:r>
        <w:rPr>
          <w:rFonts w:ascii="Times New Roman" w:hAnsi="Times New Roman" w:cs="Times New Roman"/>
          <w:sz w:val="24"/>
          <w:szCs w:val="24"/>
        </w:rPr>
        <w:t>Understanding and evaluating survey research</w:t>
      </w:r>
      <w:r w:rsidRPr="008A543A">
        <w:rPr>
          <w:rFonts w:ascii="Times New Roman" w:hAnsi="Times New Roman" w:cs="Times New Roman"/>
          <w:i/>
          <w:sz w:val="24"/>
          <w:szCs w:val="24"/>
        </w:rPr>
        <w:t>.</w:t>
      </w:r>
      <w:proofErr w:type="gramEnd"/>
      <w:r w:rsidRPr="008A543A">
        <w:rPr>
          <w:rFonts w:ascii="Times New Roman" w:hAnsi="Times New Roman" w:cs="Times New Roman"/>
          <w:i/>
          <w:sz w:val="24"/>
          <w:szCs w:val="24"/>
        </w:rPr>
        <w:t xml:space="preserve"> Journal of Advanced </w:t>
      </w:r>
    </w:p>
    <w:p w14:paraId="726F06E5" w14:textId="77777777" w:rsidR="00AC3FF9" w:rsidRDefault="00AC3FF9" w:rsidP="00AC3FF9">
      <w:pPr>
        <w:spacing w:line="480" w:lineRule="auto"/>
        <w:rPr>
          <w:rFonts w:ascii="Times New Roman" w:hAnsi="Times New Roman" w:cs="Times New Roman"/>
          <w:sz w:val="24"/>
          <w:szCs w:val="24"/>
        </w:rPr>
      </w:pPr>
      <w:r w:rsidRPr="008A543A">
        <w:rPr>
          <w:rFonts w:ascii="Times New Roman" w:hAnsi="Times New Roman" w:cs="Times New Roman"/>
          <w:i/>
          <w:sz w:val="24"/>
          <w:szCs w:val="24"/>
        </w:rPr>
        <w:tab/>
      </w:r>
      <w:proofErr w:type="gramStart"/>
      <w:r w:rsidRPr="008A543A">
        <w:rPr>
          <w:rFonts w:ascii="Times New Roman" w:hAnsi="Times New Roman" w:cs="Times New Roman"/>
          <w:i/>
          <w:sz w:val="24"/>
          <w:szCs w:val="24"/>
        </w:rPr>
        <w:t>Practitioner in Oncology,</w:t>
      </w:r>
      <w:r>
        <w:rPr>
          <w:rFonts w:ascii="Times New Roman" w:hAnsi="Times New Roman" w:cs="Times New Roman"/>
          <w:sz w:val="24"/>
          <w:szCs w:val="24"/>
        </w:rPr>
        <w:t xml:space="preserve"> 6(2), 168-171.</w:t>
      </w:r>
      <w:proofErr w:type="gramEnd"/>
      <w:r>
        <w:rPr>
          <w:rFonts w:ascii="Times New Roman" w:hAnsi="Times New Roman" w:cs="Times New Roman"/>
          <w:sz w:val="24"/>
          <w:szCs w:val="24"/>
        </w:rPr>
        <w:t xml:space="preserve"> </w:t>
      </w:r>
    </w:p>
    <w:p w14:paraId="47C8FDBA" w14:textId="77777777" w:rsidR="00BD32A1" w:rsidRDefault="00BD32A1" w:rsidP="00BD32A1">
      <w:pPr>
        <w:spacing w:line="480" w:lineRule="auto"/>
        <w:rPr>
          <w:rFonts w:ascii="Times New Roman" w:hAnsi="Times New Roman" w:cs="Times New Roman"/>
          <w:sz w:val="24"/>
          <w:szCs w:val="24"/>
        </w:rPr>
      </w:pPr>
    </w:p>
    <w:p w14:paraId="04BAB119" w14:textId="77777777" w:rsidR="00BD32A1" w:rsidRDefault="00BD32A1" w:rsidP="00BD32A1">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928CE79" w14:textId="77777777" w:rsidR="00BD32A1" w:rsidRPr="005A1DC9" w:rsidRDefault="00BD32A1" w:rsidP="00BD32A1">
      <w:pPr>
        <w:rPr>
          <w:rFonts w:ascii="Times New Roman" w:hAnsi="Times New Roman" w:cs="Times New Roman"/>
          <w:sz w:val="24"/>
          <w:szCs w:val="24"/>
        </w:rPr>
      </w:pPr>
    </w:p>
    <w:p w14:paraId="7D85A8E2" w14:textId="77777777" w:rsidR="00BD32A1" w:rsidRDefault="00BD32A1" w:rsidP="00BD32A1">
      <w:pPr>
        <w:spacing w:after="0" w:line="480" w:lineRule="auto"/>
        <w:rPr>
          <w:rFonts w:ascii="Times New Roman" w:hAnsi="Times New Roman" w:cs="Times New Roman"/>
          <w:sz w:val="24"/>
          <w:szCs w:val="24"/>
        </w:rPr>
      </w:pPr>
    </w:p>
    <w:p w14:paraId="0BACD766" w14:textId="77777777" w:rsidR="00471720" w:rsidRPr="00471720" w:rsidRDefault="00E03B65" w:rsidP="003002F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p>
    <w:sectPr w:rsidR="00471720" w:rsidRPr="00471720" w:rsidSect="004717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C3D0C" w14:textId="77777777" w:rsidR="004D00E2" w:rsidRDefault="004D00E2">
      <w:pPr>
        <w:spacing w:after="0" w:line="240" w:lineRule="auto"/>
      </w:pPr>
      <w:r>
        <w:separator/>
      </w:r>
    </w:p>
  </w:endnote>
  <w:endnote w:type="continuationSeparator" w:id="0">
    <w:p w14:paraId="6E9DA721" w14:textId="77777777" w:rsidR="004D00E2" w:rsidRDefault="004D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009BF" w14:textId="77777777" w:rsidR="004D00E2" w:rsidRDefault="004D00E2">
      <w:pPr>
        <w:spacing w:after="0" w:line="240" w:lineRule="auto"/>
      </w:pPr>
      <w:r>
        <w:separator/>
      </w:r>
    </w:p>
  </w:footnote>
  <w:footnote w:type="continuationSeparator" w:id="0">
    <w:p w14:paraId="0E7252C7" w14:textId="77777777" w:rsidR="004D00E2" w:rsidRDefault="004D00E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522EA" w14:textId="6EFC4422" w:rsidR="004D00E2" w:rsidRPr="00471720" w:rsidRDefault="00AC3FF9" w:rsidP="00471720">
    <w:pPr>
      <w:pStyle w:val="Header"/>
      <w:spacing w:line="480" w:lineRule="auto"/>
      <w:rPr>
        <w:rFonts w:ascii="Times New Roman" w:hAnsi="Times New Roman" w:cs="Times New Roman"/>
        <w:sz w:val="24"/>
        <w:szCs w:val="24"/>
      </w:rPr>
    </w:pPr>
    <w:r w:rsidRPr="001572FE">
      <w:rPr>
        <w:rFonts w:ascii="Times New Roman" w:hAnsi="Times New Roman" w:cs="Times New Roman"/>
        <w:sz w:val="24"/>
        <w:szCs w:val="24"/>
      </w:rPr>
      <w:t>EVIDENCE-BASED PRACTICE</w:t>
    </w:r>
    <w:r w:rsidR="004D00E2">
      <w:rPr>
        <w:rFonts w:ascii="Times New Roman" w:hAnsi="Times New Roman" w:cs="Times New Roman"/>
        <w:sz w:val="24"/>
        <w:szCs w:val="24"/>
      </w:rPr>
      <w:tab/>
    </w:r>
    <w:r w:rsidR="004D00E2">
      <w:rPr>
        <w:rFonts w:ascii="Times New Roman" w:hAnsi="Times New Roman" w:cs="Times New Roman"/>
        <w:sz w:val="24"/>
        <w:szCs w:val="24"/>
      </w:rPr>
      <w:tab/>
    </w:r>
    <w:r w:rsidR="004D00E2">
      <w:rPr>
        <w:rFonts w:ascii="Times New Roman" w:hAnsi="Times New Roman" w:cs="Times New Roman"/>
        <w:sz w:val="24"/>
        <w:szCs w:val="24"/>
      </w:rPr>
      <w:tab/>
    </w:r>
    <w:sdt>
      <w:sdtPr>
        <w:rPr>
          <w:rFonts w:ascii="Times New Roman" w:hAnsi="Times New Roman" w:cs="Times New Roman"/>
          <w:sz w:val="24"/>
          <w:szCs w:val="24"/>
        </w:rPr>
        <w:id w:val="-757599739"/>
        <w:docPartObj>
          <w:docPartGallery w:val="Page Numbers (Top of Page)"/>
          <w:docPartUnique/>
        </w:docPartObj>
      </w:sdtPr>
      <w:sdtEndPr>
        <w:rPr>
          <w:noProof/>
        </w:rPr>
      </w:sdtEndPr>
      <w:sdtContent>
        <w:r w:rsidR="004D00E2" w:rsidRPr="00471720">
          <w:rPr>
            <w:rFonts w:ascii="Times New Roman" w:hAnsi="Times New Roman" w:cs="Times New Roman"/>
            <w:sz w:val="24"/>
            <w:szCs w:val="24"/>
          </w:rPr>
          <w:fldChar w:fldCharType="begin"/>
        </w:r>
        <w:r w:rsidR="004D00E2" w:rsidRPr="00471720">
          <w:rPr>
            <w:rFonts w:ascii="Times New Roman" w:hAnsi="Times New Roman" w:cs="Times New Roman"/>
            <w:sz w:val="24"/>
            <w:szCs w:val="24"/>
          </w:rPr>
          <w:instrText xml:space="preserve"> PAGE   \* MERGEFORMAT </w:instrText>
        </w:r>
        <w:r w:rsidR="004D00E2" w:rsidRPr="00471720">
          <w:rPr>
            <w:rFonts w:ascii="Times New Roman" w:hAnsi="Times New Roman" w:cs="Times New Roman"/>
            <w:sz w:val="24"/>
            <w:szCs w:val="24"/>
          </w:rPr>
          <w:fldChar w:fldCharType="separate"/>
        </w:r>
        <w:r w:rsidR="003F055A">
          <w:rPr>
            <w:rFonts w:ascii="Times New Roman" w:hAnsi="Times New Roman" w:cs="Times New Roman"/>
            <w:noProof/>
            <w:sz w:val="24"/>
            <w:szCs w:val="24"/>
          </w:rPr>
          <w:t>4</w:t>
        </w:r>
        <w:r w:rsidR="004D00E2" w:rsidRPr="00471720">
          <w:rPr>
            <w:rFonts w:ascii="Times New Roman" w:hAnsi="Times New Roman" w:cs="Times New Roman"/>
            <w:noProof/>
            <w:sz w:val="24"/>
            <w:szCs w:val="24"/>
          </w:rPr>
          <w:fldChar w:fldCharType="end"/>
        </w:r>
      </w:sdtContent>
    </w:sdt>
  </w:p>
  <w:p w14:paraId="5BF9521C" w14:textId="77777777" w:rsidR="004D00E2" w:rsidRDefault="004D00E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606E6" w14:textId="401FEE48" w:rsidR="004D00E2" w:rsidRPr="00471720" w:rsidRDefault="004D00E2" w:rsidP="00471720">
    <w:pPr>
      <w:pStyle w:val="Header"/>
      <w:spacing w:line="480" w:lineRule="auto"/>
      <w:rPr>
        <w:rFonts w:ascii="Times New Roman" w:hAnsi="Times New Roman" w:cs="Times New Roman"/>
        <w:sz w:val="24"/>
        <w:szCs w:val="24"/>
      </w:rPr>
    </w:pPr>
    <w:r w:rsidRPr="00471720">
      <w:rPr>
        <w:rFonts w:ascii="Times New Roman" w:hAnsi="Times New Roman" w:cs="Times New Roman"/>
        <w:sz w:val="24"/>
        <w:szCs w:val="24"/>
      </w:rPr>
      <w:t xml:space="preserve">Running head:  </w:t>
    </w:r>
    <w:r w:rsidR="00AC3FF9" w:rsidRPr="001572FE">
      <w:rPr>
        <w:rFonts w:ascii="Times New Roman" w:hAnsi="Times New Roman" w:cs="Times New Roman"/>
        <w:sz w:val="24"/>
        <w:szCs w:val="24"/>
      </w:rPr>
      <w:t>EVIDENCE-BASED PRACTICE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3803843"/>
        <w:docPartObj>
          <w:docPartGallery w:val="Page Numbers (Top of Page)"/>
          <w:docPartUnique/>
        </w:docPartObj>
      </w:sdtPr>
      <w:sdtEndPr>
        <w:rPr>
          <w:noProof/>
        </w:rPr>
      </w:sdtEndPr>
      <w:sdtContent>
        <w:r w:rsidRPr="00471720">
          <w:rPr>
            <w:rFonts w:ascii="Times New Roman" w:hAnsi="Times New Roman" w:cs="Times New Roman"/>
            <w:sz w:val="24"/>
            <w:szCs w:val="24"/>
          </w:rPr>
          <w:fldChar w:fldCharType="begin"/>
        </w:r>
        <w:r w:rsidRPr="00471720">
          <w:rPr>
            <w:rFonts w:ascii="Times New Roman" w:hAnsi="Times New Roman" w:cs="Times New Roman"/>
            <w:sz w:val="24"/>
            <w:szCs w:val="24"/>
          </w:rPr>
          <w:instrText xml:space="preserve"> PAGE   \* MERGEFORMAT </w:instrText>
        </w:r>
        <w:r w:rsidRPr="00471720">
          <w:rPr>
            <w:rFonts w:ascii="Times New Roman" w:hAnsi="Times New Roman" w:cs="Times New Roman"/>
            <w:sz w:val="24"/>
            <w:szCs w:val="24"/>
          </w:rPr>
          <w:fldChar w:fldCharType="separate"/>
        </w:r>
        <w:r w:rsidR="003F055A">
          <w:rPr>
            <w:rFonts w:ascii="Times New Roman" w:hAnsi="Times New Roman" w:cs="Times New Roman"/>
            <w:noProof/>
            <w:sz w:val="24"/>
            <w:szCs w:val="24"/>
          </w:rPr>
          <w:t>1</w:t>
        </w:r>
        <w:r w:rsidRPr="00471720">
          <w:rPr>
            <w:rFonts w:ascii="Times New Roman" w:hAnsi="Times New Roman" w:cs="Times New Roman"/>
            <w:noProof/>
            <w:sz w:val="24"/>
            <w:szCs w:val="24"/>
          </w:rPr>
          <w:fldChar w:fldCharType="end"/>
        </w:r>
      </w:sdtContent>
    </w:sdt>
  </w:p>
  <w:p w14:paraId="12738FBB" w14:textId="77777777" w:rsidR="004D00E2" w:rsidRDefault="004D0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720"/>
    <w:rsid w:val="000A5FBA"/>
    <w:rsid w:val="00192986"/>
    <w:rsid w:val="001D2666"/>
    <w:rsid w:val="003002FE"/>
    <w:rsid w:val="003A3327"/>
    <w:rsid w:val="003F055A"/>
    <w:rsid w:val="00471720"/>
    <w:rsid w:val="004D00E2"/>
    <w:rsid w:val="005067F0"/>
    <w:rsid w:val="0054766B"/>
    <w:rsid w:val="005E1BA5"/>
    <w:rsid w:val="006309B9"/>
    <w:rsid w:val="00846E3C"/>
    <w:rsid w:val="00877CA1"/>
    <w:rsid w:val="00920FBD"/>
    <w:rsid w:val="00AC3FF9"/>
    <w:rsid w:val="00AF0F34"/>
    <w:rsid w:val="00B61516"/>
    <w:rsid w:val="00BC7598"/>
    <w:rsid w:val="00BD32A1"/>
    <w:rsid w:val="00BD4F4E"/>
    <w:rsid w:val="00C05157"/>
    <w:rsid w:val="00C6358B"/>
    <w:rsid w:val="00E03B65"/>
    <w:rsid w:val="00E728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44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720"/>
  </w:style>
  <w:style w:type="paragraph" w:styleId="Footer">
    <w:name w:val="footer"/>
    <w:basedOn w:val="Normal"/>
    <w:link w:val="FooterChar"/>
    <w:uiPriority w:val="99"/>
    <w:unhideWhenUsed/>
    <w:rsid w:val="00471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720"/>
  </w:style>
  <w:style w:type="character" w:styleId="Hyperlink">
    <w:name w:val="Hyperlink"/>
    <w:basedOn w:val="DefaultParagraphFont"/>
    <w:uiPriority w:val="99"/>
    <w:unhideWhenUsed/>
    <w:rsid w:val="006309B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720"/>
  </w:style>
  <w:style w:type="paragraph" w:styleId="Footer">
    <w:name w:val="footer"/>
    <w:basedOn w:val="Normal"/>
    <w:link w:val="FooterChar"/>
    <w:uiPriority w:val="99"/>
    <w:unhideWhenUsed/>
    <w:rsid w:val="00471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720"/>
  </w:style>
  <w:style w:type="character" w:styleId="Hyperlink">
    <w:name w:val="Hyperlink"/>
    <w:basedOn w:val="DefaultParagraphFont"/>
    <w:uiPriority w:val="99"/>
    <w:unhideWhenUsed/>
    <w:rsid w:val="006309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634</Words>
  <Characters>3620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Rodriguez</cp:lastModifiedBy>
  <cp:revision>4</cp:revision>
  <dcterms:created xsi:type="dcterms:W3CDTF">2019-11-06T03:34:00Z</dcterms:created>
  <dcterms:modified xsi:type="dcterms:W3CDTF">2019-11-06T04:05:00Z</dcterms:modified>
</cp:coreProperties>
</file>