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7BD16" w14:textId="77777777" w:rsidR="00EA6E9C" w:rsidRPr="00CD3B54" w:rsidRDefault="00CD3B54" w:rsidP="003C4504">
      <w:pPr>
        <w:jc w:val="center"/>
        <w:rPr>
          <w:rFonts w:ascii="Times New Roman" w:hAnsi="Times New Roman" w:cs="Times New Roman"/>
        </w:rPr>
      </w:pPr>
      <w:r w:rsidRPr="00CD3B54">
        <w:rPr>
          <w:rFonts w:ascii="Times New Roman" w:hAnsi="Times New Roman" w:cs="Times New Roman"/>
        </w:rPr>
        <w:t>Journal III:</w:t>
      </w:r>
    </w:p>
    <w:p w14:paraId="447DDD24" w14:textId="77777777" w:rsidR="00CD3B54" w:rsidRPr="00CD3B54" w:rsidRDefault="00CD3B54" w:rsidP="003C4504">
      <w:pPr>
        <w:jc w:val="center"/>
        <w:rPr>
          <w:rFonts w:ascii="Times New Roman" w:hAnsi="Times New Roman" w:cs="Times New Roman"/>
        </w:rPr>
      </w:pPr>
      <w:r w:rsidRPr="00CD3B54">
        <w:rPr>
          <w:rFonts w:ascii="Times New Roman" w:hAnsi="Times New Roman" w:cs="Times New Roman"/>
        </w:rPr>
        <w:t>Postmodernism</w:t>
      </w:r>
    </w:p>
    <w:p w14:paraId="2B999A5A" w14:textId="77777777" w:rsidR="00CD3B54" w:rsidRDefault="00CD3B54" w:rsidP="003C4504">
      <w:pPr>
        <w:rPr>
          <w:rFonts w:ascii="Times New Roman" w:eastAsia="Times New Roman" w:hAnsi="Times New Roman" w:cs="Times New Roman"/>
        </w:rPr>
      </w:pPr>
    </w:p>
    <w:p w14:paraId="71DF6921" w14:textId="77777777" w:rsidR="003C4504" w:rsidRDefault="007D5E4A" w:rsidP="003C4504">
      <w:pPr>
        <w:pStyle w:val="NormalWeb"/>
        <w:spacing w:before="0" w:beforeAutospacing="0" w:after="0" w:afterAutospacing="0"/>
        <w:ind w:firstLine="720"/>
      </w:pPr>
      <w:r>
        <w:t xml:space="preserve">In previous modules, we have examined novels and short stories that revise the traditional romance and marriage plot that has been particularly dominant in Western literature since the nineteenth century. In Marguerite </w:t>
      </w:r>
      <w:proofErr w:type="spellStart"/>
      <w:r>
        <w:t>Duras’s</w:t>
      </w:r>
      <w:proofErr w:type="spellEnd"/>
      <w:r>
        <w:t xml:space="preserve"> </w:t>
      </w:r>
      <w:proofErr w:type="gramStart"/>
      <w:r>
        <w:rPr>
          <w:rStyle w:val="Emphasis"/>
        </w:rPr>
        <w:t>The</w:t>
      </w:r>
      <w:proofErr w:type="gramEnd"/>
      <w:r>
        <w:rPr>
          <w:rStyle w:val="Emphasis"/>
        </w:rPr>
        <w:t xml:space="preserve"> Lover </w:t>
      </w:r>
      <w:r>
        <w:t xml:space="preserve">and Eileen Chang’s “Sealed Off,” we see examples of lovers who encounter each other in colonial settings and whose possibilities for romance are radically circumscribed by conditions of politics and history. We have also considered how women’s possibilities for independence and agency have been shaped by power relations of class, race, age, and gender, as well as dominant discourses of sexuality, romance, and marriage. In the narrative of Florentino and </w:t>
      </w:r>
      <w:proofErr w:type="spellStart"/>
      <w:r>
        <w:t>Fermina’s</w:t>
      </w:r>
      <w:proofErr w:type="spellEnd"/>
      <w:r>
        <w:t xml:space="preserve"> highly unconventional romance, </w:t>
      </w:r>
      <w:proofErr w:type="spellStart"/>
      <w:r>
        <w:t>García</w:t>
      </w:r>
      <w:proofErr w:type="spellEnd"/>
      <w:r>
        <w:t xml:space="preserve"> </w:t>
      </w:r>
      <w:proofErr w:type="spellStart"/>
      <w:r>
        <w:t>Márquez’s</w:t>
      </w:r>
      <w:proofErr w:type="spellEnd"/>
      <w:r>
        <w:t xml:space="preserve"> </w:t>
      </w:r>
      <w:r>
        <w:rPr>
          <w:rStyle w:val="Emphasis"/>
        </w:rPr>
        <w:t xml:space="preserve">Love in the Time of Cholera </w:t>
      </w:r>
      <w:r>
        <w:t xml:space="preserve">presents an extreme refashioning of traditional depictions of romance within the literary tradition. Continuing in this vein, Japanese novelist Haruki Murakami’s 1987 novel </w:t>
      </w:r>
      <w:r>
        <w:rPr>
          <w:rStyle w:val="Emphasis"/>
        </w:rPr>
        <w:t xml:space="preserve">Norwegian Wood </w:t>
      </w:r>
      <w:r>
        <w:t>presents a frank account of a young male narrator’s sexual experiences in late-</w:t>
      </w:r>
      <w:proofErr w:type="spellStart"/>
      <w:r>
        <w:t>1960s</w:t>
      </w:r>
      <w:proofErr w:type="spellEnd"/>
      <w:r>
        <w:t xml:space="preserve"> Tokyo, set against the backdrop of the period’s radical student movements. In this module and the next, we will examine how Murakami’s depiction of the </w:t>
      </w:r>
      <w:proofErr w:type="spellStart"/>
      <w:r>
        <w:t>1960s</w:t>
      </w:r>
      <w:proofErr w:type="spellEnd"/>
      <w:r>
        <w:t xml:space="preserve"> reflects the new cultural context of globalization as well as postmodern literary techniques invented in part to respond to these trends.</w:t>
      </w:r>
    </w:p>
    <w:p w14:paraId="48349E6A" w14:textId="77777777" w:rsidR="003C4504" w:rsidRDefault="003C4504" w:rsidP="003C4504">
      <w:pPr>
        <w:pStyle w:val="NormalWeb"/>
        <w:spacing w:before="0" w:beforeAutospacing="0" w:after="0" w:afterAutospacing="0"/>
        <w:ind w:firstLine="720"/>
      </w:pPr>
    </w:p>
    <w:p w14:paraId="61B7847D" w14:textId="22D10835" w:rsidR="007D5E4A" w:rsidRDefault="007D5E4A" w:rsidP="003C4504">
      <w:pPr>
        <w:pStyle w:val="NormalWeb"/>
        <w:spacing w:before="0" w:beforeAutospacing="0" w:after="0" w:afterAutospacing="0"/>
        <w:ind w:firstLine="720"/>
      </w:pPr>
      <w:r>
        <w:t xml:space="preserve">From Kafka’s </w:t>
      </w:r>
      <w:r>
        <w:rPr>
          <w:rStyle w:val="Emphasis"/>
        </w:rPr>
        <w:t xml:space="preserve">The Metamorphosis </w:t>
      </w:r>
      <w:r>
        <w:t xml:space="preserve">to </w:t>
      </w:r>
      <w:proofErr w:type="spellStart"/>
      <w:r>
        <w:t>García</w:t>
      </w:r>
      <w:proofErr w:type="spellEnd"/>
      <w:r>
        <w:t xml:space="preserve"> </w:t>
      </w:r>
      <w:proofErr w:type="spellStart"/>
      <w:r>
        <w:t>Márquez’s</w:t>
      </w:r>
      <w:proofErr w:type="spellEnd"/>
      <w:r>
        <w:t xml:space="preserve"> </w:t>
      </w:r>
      <w:r>
        <w:rPr>
          <w:rStyle w:val="Emphasis"/>
        </w:rPr>
        <w:t>Love in the Time of Cholera</w:t>
      </w:r>
      <w:r>
        <w:t xml:space="preserve">, we have seen examples of magical realism as critical responses to the world of modernity with its emphasis on the rational, Western subject of Enlightenment and colonialism. Known for works such as </w:t>
      </w:r>
      <w:r>
        <w:rPr>
          <w:rStyle w:val="Emphasis"/>
        </w:rPr>
        <w:t xml:space="preserve">A Wild Sheep Chase </w:t>
      </w:r>
      <w:r>
        <w:t xml:space="preserve">and </w:t>
      </w:r>
      <w:r>
        <w:rPr>
          <w:rStyle w:val="Emphasis"/>
        </w:rPr>
        <w:t>The Wind-Up Bird Chronicle</w:t>
      </w:r>
      <w:r>
        <w:t xml:space="preserve">, Murakami too is often considered as a pioneering author within magical realism. By contrast, </w:t>
      </w:r>
      <w:r>
        <w:rPr>
          <w:rStyle w:val="Emphasis"/>
        </w:rPr>
        <w:t>Norwegian Wood</w:t>
      </w:r>
      <w:r>
        <w:t xml:space="preserve">, the novel that in many ways propelled Murakami into the global literary spotlight, offers a narrative seemingly set firmly within mainstream literary realism. Yet, not unlike Murakami’s other famous novels, </w:t>
      </w:r>
      <w:r>
        <w:rPr>
          <w:rStyle w:val="Emphasis"/>
        </w:rPr>
        <w:t xml:space="preserve">Norwegian Wood </w:t>
      </w:r>
      <w:r>
        <w:t>is deeply concerned with history and the interweaving of the personal and the political.</w:t>
      </w:r>
    </w:p>
    <w:p w14:paraId="25AE1516" w14:textId="77777777" w:rsidR="003C4504" w:rsidRDefault="003C4504" w:rsidP="003C4504">
      <w:pPr>
        <w:pStyle w:val="NormalWeb"/>
        <w:spacing w:before="0" w:beforeAutospacing="0" w:after="0" w:afterAutospacing="0"/>
        <w:ind w:firstLine="720"/>
      </w:pPr>
    </w:p>
    <w:p w14:paraId="19A1031C" w14:textId="77777777" w:rsidR="003C4504" w:rsidRDefault="007D5E4A" w:rsidP="003C4504">
      <w:pPr>
        <w:pStyle w:val="NormalWeb"/>
        <w:spacing w:before="0" w:beforeAutospacing="0" w:after="0" w:afterAutospacing="0"/>
        <w:ind w:firstLine="720"/>
      </w:pPr>
      <w:r>
        <w:t xml:space="preserve">The novel’s central narrative, focused on Toru’s own first-person recounting of his two college romances with Naoko and Midori, is framed by the adult Toru’s description of the conditions allowing him to tell the story of the novel in the first place. In an airplane recently landed at the German airport of Hamburg, Toru hears “a sweet orchestral cover version” (1) of the Beatles song “Norwegian Wood.” Hearing this song propels Toru into the past and revives his memories of “all I had lost in the course of my life: times gone </w:t>
      </w:r>
      <w:proofErr w:type="spellStart"/>
      <w:r>
        <w:t>for ever</w:t>
      </w:r>
      <w:proofErr w:type="spellEnd"/>
      <w:r>
        <w:t xml:space="preserve">, friends who had died or disappeared, feelings I would never know again” (1). Toru’s experience of involuntary memory after hearing an “orchestral cover” of “Norwegian Wood” in an airport recalls another example of a character overwhelmed by a spontaneous flood of memories: the famous episode that begins Marcel Proust’s </w:t>
      </w:r>
      <w:r>
        <w:rPr>
          <w:rStyle w:val="Emphasis"/>
        </w:rPr>
        <w:t>Swann’s Way</w:t>
      </w:r>
      <w:r>
        <w:t>, in which the narrator is involuntarily cast back into his childhood after tasting a madeleine. The contrast between these two scenes is instructive. For Proust, the scene of memory is the narrator’s home and the associations it recalls are those of his family and childhood. For Murakami’s narrator, the scene of memory is a global “non-place” (as anthropologist Marc Augé has described the modern airport), and the object that triggers this involuntary memory is an imitation of a work of popular culture, itself copied countless times through recording and re-recording.</w:t>
      </w:r>
    </w:p>
    <w:p w14:paraId="57CAC753" w14:textId="5100FB73" w:rsidR="007D5E4A" w:rsidRDefault="007D5E4A" w:rsidP="003C4504">
      <w:pPr>
        <w:pStyle w:val="NormalWeb"/>
        <w:spacing w:before="0" w:beforeAutospacing="0" w:after="0" w:afterAutospacing="0"/>
        <w:ind w:firstLine="720"/>
      </w:pPr>
      <w:r>
        <w:lastRenderedPageBreak/>
        <w:t xml:space="preserve">Paradoxically, the fact that the song evoking Toru’s involuntary memory is patently inauthentic—a “cover” of “Norwegian Wood” and not the original song itself—does not inhibit the outpouring of his memory. Indeed, a culture of inauthenticity, filled with copies of copies, may be seen as a hallmark of postmodernism in literature and culture. As discussed in previous modules, the line between modernism and postmodernism, if there is one at all, continues to be a matter of active debate among scholars and theorists. For some, postmodernism may simply be seen as a refinement and intensification of modernism within the contemporary moment. In his influential text </w:t>
      </w:r>
      <w:r>
        <w:rPr>
          <w:rStyle w:val="Emphasis"/>
        </w:rPr>
        <w:t>Postmodernism, or the Cultural Logic of Late-Capitalism</w:t>
      </w:r>
      <w:r>
        <w:t xml:space="preserve">, literary theorist Fredric Jameson sees postmodernism as the cultural expression of the latest, global stage of capitalism that has developed after the dismantling of the European colonial empires during the </w:t>
      </w:r>
      <w:proofErr w:type="spellStart"/>
      <w:r>
        <w:t>1960s</w:t>
      </w:r>
      <w:proofErr w:type="spellEnd"/>
      <w:r>
        <w:t xml:space="preserve"> and </w:t>
      </w:r>
      <w:proofErr w:type="spellStart"/>
      <w:r>
        <w:t>1970s</w:t>
      </w:r>
      <w:proofErr w:type="spellEnd"/>
      <w:r>
        <w:t xml:space="preserve">. Particularly after the end of the Cold War in the early </w:t>
      </w:r>
      <w:proofErr w:type="spellStart"/>
      <w:r>
        <w:t>1990s</w:t>
      </w:r>
      <w:proofErr w:type="spellEnd"/>
      <w:r>
        <w:t xml:space="preserve">, capitalism in the contemporary period is not only global in scope but also characterized by the increasing dominance of cultural industries, such as film, television, and other popular media. In this account of the rise of postmodernism, many of the formal cultural hierarchies that characterized prior moments of literary history are no longer seen as sustainable. Specifically, the line between “high” and “low” culture, or between “serious” works of literature and “ephemeral” popular culture, is no longer thought to be discernible or even meaningful. Accordingly, a new generation of authors associated with postmodernism, including Murakami, have made gleeful use of popular culture in their works. In his references to jazz, rock, and folk music, Murakami not only sets the mood of the </w:t>
      </w:r>
      <w:proofErr w:type="spellStart"/>
      <w:r>
        <w:t>1960s</w:t>
      </w:r>
      <w:proofErr w:type="spellEnd"/>
      <w:r>
        <w:t xml:space="preserve"> in his novel, but also actively borrows inspiration from these popular genres.</w:t>
      </w:r>
    </w:p>
    <w:p w14:paraId="2DBB400C" w14:textId="77777777" w:rsidR="003C4504" w:rsidRDefault="003C4504" w:rsidP="003C4504">
      <w:pPr>
        <w:pStyle w:val="NormalWeb"/>
        <w:spacing w:before="0" w:beforeAutospacing="0" w:after="0" w:afterAutospacing="0"/>
        <w:ind w:firstLine="720"/>
      </w:pPr>
    </w:p>
    <w:p w14:paraId="194DA88D" w14:textId="77777777" w:rsidR="007D5E4A" w:rsidRDefault="007D5E4A" w:rsidP="003C4504">
      <w:pPr>
        <w:pStyle w:val="NormalWeb"/>
        <w:spacing w:before="0" w:beforeAutospacing="0" w:after="0" w:afterAutospacing="0"/>
        <w:ind w:firstLine="720"/>
      </w:pPr>
      <w:r>
        <w:t xml:space="preserve">Another literary technique often associated with postmodernism is the frequent use of the self-conscious narrator, sometimes referred to as meta-fiction. In Patricia Waugh’s </w:t>
      </w:r>
      <w:r>
        <w:rPr>
          <w:rStyle w:val="Emphasis"/>
        </w:rPr>
        <w:t>Meta-fiction: The Theory and Practice of Self-Conscious Fiction</w:t>
      </w:r>
      <w:r>
        <w:t xml:space="preserve">, the author defines meta- fiction as that which “self-consciously and systematically draws attention to its status as an artifact in order to pose questions about the relationship between fiction and reality” (2). Furthermore, as Waugh notes, meta-fiction is predicated upon “a sense that reality or history are provisional: no longer a world of external verities but a series of constructions, artifices, impermanent structures” (7). The text of meta-fiction seems self-consciously aware of its own status as a text, and the narrators of such texts are aware of their own limited status of narrators. Such an understanding of meta-fictional techniques, premises, and purposes align well with Murakami’s oeuvre as a whole and with his use of the self-conscious, but unreliable narrator in </w:t>
      </w:r>
      <w:r>
        <w:rPr>
          <w:rStyle w:val="Emphasis"/>
        </w:rPr>
        <w:t>Norwegian Wood</w:t>
      </w:r>
      <w:r>
        <w:t>. Toru starts the narrative of his time with Naoko by reflecting explicitly on his own failings as a narrator and the unreliability of his own memory: “Even so, my memory has grown increasingly dim, and I have already forgotten any number of things” (10). This admission, coupled with his explanation of “why I am writing this book” (4), make him a deeply suspect narrator who is also highly implicated in the tragic events he describes. Rather than a narrative offering the reader certainty about the events it recounts, Toru’s narrative is filled with gaps and unexplained silences. Keeping this in mind may help us to understand the novel’s highly open-ended conclusion, which we will consider in more detail in the next module.</w:t>
      </w:r>
    </w:p>
    <w:p w14:paraId="79306072" w14:textId="77777777" w:rsidR="003C4504" w:rsidRDefault="003C4504">
      <w:pPr>
        <w:rPr>
          <w:rFonts w:ascii="Times New Roman" w:hAnsi="Times New Roman" w:cs="Times New Roman"/>
        </w:rPr>
      </w:pPr>
      <w:r>
        <w:br w:type="page"/>
      </w:r>
    </w:p>
    <w:p w14:paraId="5347E431" w14:textId="61579D0A" w:rsidR="007D5E4A" w:rsidRDefault="007D5E4A" w:rsidP="003C4504">
      <w:pPr>
        <w:pStyle w:val="NormalWeb"/>
        <w:spacing w:before="0" w:beforeAutospacing="0" w:after="0" w:afterAutospacing="0"/>
        <w:jc w:val="center"/>
      </w:pPr>
      <w:r>
        <w:t>Works Cited</w:t>
      </w:r>
    </w:p>
    <w:p w14:paraId="0394DAF7" w14:textId="77777777" w:rsidR="003C4504" w:rsidRDefault="003C4504" w:rsidP="003C4504">
      <w:pPr>
        <w:pStyle w:val="NormalWeb"/>
        <w:spacing w:before="0" w:beforeAutospacing="0" w:after="0" w:afterAutospacing="0"/>
        <w:ind w:left="960" w:hanging="960"/>
      </w:pPr>
    </w:p>
    <w:p w14:paraId="080A03C5" w14:textId="77777777" w:rsidR="007D5E4A" w:rsidRDefault="007D5E4A" w:rsidP="003C4504">
      <w:pPr>
        <w:pStyle w:val="NormalWeb"/>
        <w:spacing w:before="0" w:beforeAutospacing="0" w:after="0" w:afterAutospacing="0"/>
        <w:ind w:left="960" w:hanging="960"/>
      </w:pPr>
      <w:r>
        <w:t xml:space="preserve">Murakami, Haruki. </w:t>
      </w:r>
      <w:r>
        <w:rPr>
          <w:rStyle w:val="Emphasis"/>
        </w:rPr>
        <w:t>Norwegian Wood</w:t>
      </w:r>
      <w:r>
        <w:t>. London: Vintage, 2001. Print.</w:t>
      </w:r>
    </w:p>
    <w:p w14:paraId="00A0D79A" w14:textId="77777777" w:rsidR="003C4504" w:rsidRDefault="003C4504" w:rsidP="003C4504">
      <w:pPr>
        <w:pStyle w:val="NormalWeb"/>
        <w:spacing w:before="0" w:beforeAutospacing="0" w:after="0" w:afterAutospacing="0"/>
        <w:ind w:left="960" w:hanging="960"/>
      </w:pPr>
    </w:p>
    <w:p w14:paraId="695F07E7" w14:textId="77777777" w:rsidR="003C4504" w:rsidRDefault="007D5E4A" w:rsidP="003C4504">
      <w:pPr>
        <w:pStyle w:val="NormalWeb"/>
        <w:spacing w:before="0" w:beforeAutospacing="0" w:after="0" w:afterAutospacing="0"/>
        <w:ind w:left="960" w:hanging="960"/>
      </w:pPr>
      <w:r>
        <w:t xml:space="preserve">Waugh, Patricia. </w:t>
      </w:r>
      <w:r>
        <w:rPr>
          <w:rStyle w:val="Emphasis"/>
        </w:rPr>
        <w:t>Meta-fiction</w:t>
      </w:r>
      <w:bookmarkStart w:id="0" w:name="_GoBack"/>
      <w:bookmarkEnd w:id="0"/>
      <w:r>
        <w:rPr>
          <w:rStyle w:val="Emphasis"/>
        </w:rPr>
        <w:t>: The Theory and Practice of Self-Conscious Fiction</w:t>
      </w:r>
      <w:r w:rsidR="003C4504">
        <w:t>. London:</w:t>
      </w:r>
    </w:p>
    <w:p w14:paraId="033F597D" w14:textId="7DBF1A5B" w:rsidR="007D5E4A" w:rsidRDefault="007D5E4A" w:rsidP="003C4504">
      <w:pPr>
        <w:pStyle w:val="NormalWeb"/>
        <w:spacing w:before="0" w:beforeAutospacing="0" w:after="0" w:afterAutospacing="0"/>
        <w:ind w:firstLine="720"/>
      </w:pPr>
      <w:r>
        <w:t>Methuen, 1984. Print.</w:t>
      </w:r>
    </w:p>
    <w:p w14:paraId="3058B760" w14:textId="77777777" w:rsidR="00CD3B54" w:rsidRPr="00CD3B54" w:rsidRDefault="00CD3B54" w:rsidP="003C4504">
      <w:pPr>
        <w:rPr>
          <w:rFonts w:ascii="Times New Roman" w:hAnsi="Times New Roman" w:cs="Times New Roman"/>
        </w:rPr>
      </w:pPr>
    </w:p>
    <w:sectPr w:rsidR="00CD3B54" w:rsidRPr="00CD3B54" w:rsidSect="00B45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B54"/>
    <w:rsid w:val="0001205A"/>
    <w:rsid w:val="003C4504"/>
    <w:rsid w:val="00791339"/>
    <w:rsid w:val="007D5E4A"/>
    <w:rsid w:val="00B45844"/>
    <w:rsid w:val="00CD3B54"/>
    <w:rsid w:val="00F037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8C601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5E4A"/>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7D5E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6435">
      <w:bodyDiv w:val="1"/>
      <w:marLeft w:val="0"/>
      <w:marRight w:val="0"/>
      <w:marTop w:val="0"/>
      <w:marBottom w:val="0"/>
      <w:divBdr>
        <w:top w:val="none" w:sz="0" w:space="0" w:color="auto"/>
        <w:left w:val="none" w:sz="0" w:space="0" w:color="auto"/>
        <w:bottom w:val="none" w:sz="0" w:space="0" w:color="auto"/>
        <w:right w:val="none" w:sz="0" w:space="0" w:color="auto"/>
      </w:divBdr>
    </w:div>
    <w:div w:id="236257311">
      <w:bodyDiv w:val="1"/>
      <w:marLeft w:val="0"/>
      <w:marRight w:val="0"/>
      <w:marTop w:val="0"/>
      <w:marBottom w:val="0"/>
      <w:divBdr>
        <w:top w:val="none" w:sz="0" w:space="0" w:color="auto"/>
        <w:left w:val="none" w:sz="0" w:space="0" w:color="auto"/>
        <w:bottom w:val="none" w:sz="0" w:space="0" w:color="auto"/>
        <w:right w:val="none" w:sz="0" w:space="0" w:color="auto"/>
      </w:divBdr>
    </w:div>
    <w:div w:id="342558029">
      <w:bodyDiv w:val="1"/>
      <w:marLeft w:val="0"/>
      <w:marRight w:val="0"/>
      <w:marTop w:val="0"/>
      <w:marBottom w:val="0"/>
      <w:divBdr>
        <w:top w:val="none" w:sz="0" w:space="0" w:color="auto"/>
        <w:left w:val="none" w:sz="0" w:space="0" w:color="auto"/>
        <w:bottom w:val="none" w:sz="0" w:space="0" w:color="auto"/>
        <w:right w:val="none" w:sz="0" w:space="0" w:color="auto"/>
      </w:divBdr>
      <w:divsChild>
        <w:div w:id="1138301277">
          <w:marLeft w:val="0"/>
          <w:marRight w:val="0"/>
          <w:marTop w:val="0"/>
          <w:marBottom w:val="0"/>
          <w:divBdr>
            <w:top w:val="none" w:sz="0" w:space="0" w:color="auto"/>
            <w:left w:val="none" w:sz="0" w:space="0" w:color="auto"/>
            <w:bottom w:val="none" w:sz="0" w:space="0" w:color="auto"/>
            <w:right w:val="none" w:sz="0" w:space="0" w:color="auto"/>
          </w:divBdr>
        </w:div>
      </w:divsChild>
    </w:div>
    <w:div w:id="9878286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1109</Words>
  <Characters>6324</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2018-11-28T02:54:00Z</dcterms:created>
  <dcterms:modified xsi:type="dcterms:W3CDTF">2018-11-28T03:00:00Z</dcterms:modified>
</cp:coreProperties>
</file>