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377" w:rsidRDefault="00D65377" w:rsidP="00D65377">
      <w:pPr>
        <w:spacing w:line="480" w:lineRule="auto"/>
        <w:rPr>
          <w:rFonts w:ascii="Times New Roman" w:hAnsi="Times New Roman" w:cs="Times New Roman"/>
          <w:sz w:val="24"/>
          <w:szCs w:val="24"/>
        </w:rPr>
      </w:pPr>
    </w:p>
    <w:p w:rsidR="00D65377" w:rsidRDefault="00D65377" w:rsidP="00D65377">
      <w:pPr>
        <w:spacing w:line="480" w:lineRule="auto"/>
        <w:rPr>
          <w:rFonts w:ascii="Times New Roman" w:hAnsi="Times New Roman" w:cs="Times New Roman"/>
          <w:sz w:val="24"/>
          <w:szCs w:val="24"/>
        </w:rPr>
      </w:pPr>
    </w:p>
    <w:p w:rsidR="00D65377" w:rsidRDefault="00D65377" w:rsidP="00D65377">
      <w:pPr>
        <w:spacing w:line="480" w:lineRule="auto"/>
        <w:rPr>
          <w:rFonts w:ascii="Times New Roman" w:hAnsi="Times New Roman" w:cs="Times New Roman"/>
          <w:sz w:val="24"/>
          <w:szCs w:val="24"/>
        </w:rPr>
      </w:pPr>
    </w:p>
    <w:p w:rsidR="00D65377" w:rsidRDefault="00D65377" w:rsidP="00D65377">
      <w:pPr>
        <w:spacing w:line="480" w:lineRule="auto"/>
        <w:rPr>
          <w:rFonts w:ascii="Times New Roman" w:hAnsi="Times New Roman" w:cs="Times New Roman"/>
          <w:sz w:val="24"/>
          <w:szCs w:val="24"/>
        </w:rPr>
      </w:pPr>
    </w:p>
    <w:p w:rsidR="00D65377" w:rsidRDefault="00D65377" w:rsidP="00D65377">
      <w:pPr>
        <w:spacing w:line="480" w:lineRule="auto"/>
        <w:rPr>
          <w:rFonts w:ascii="Times New Roman" w:hAnsi="Times New Roman" w:cs="Times New Roman"/>
          <w:sz w:val="24"/>
          <w:szCs w:val="24"/>
        </w:rPr>
      </w:pPr>
    </w:p>
    <w:p w:rsidR="00D65377" w:rsidRDefault="00D65377" w:rsidP="00D65377">
      <w:pPr>
        <w:spacing w:line="480" w:lineRule="auto"/>
        <w:rPr>
          <w:rFonts w:ascii="Times New Roman" w:hAnsi="Times New Roman" w:cs="Times New Roman"/>
          <w:sz w:val="24"/>
          <w:szCs w:val="24"/>
        </w:rPr>
      </w:pPr>
    </w:p>
    <w:p w:rsidR="00D65377" w:rsidRDefault="00D65377" w:rsidP="00E96642">
      <w:pPr>
        <w:spacing w:after="0" w:line="480" w:lineRule="auto"/>
        <w:contextualSpacing/>
        <w:rPr>
          <w:rFonts w:ascii="Times New Roman" w:hAnsi="Times New Roman" w:cs="Times New Roman"/>
          <w:sz w:val="24"/>
          <w:szCs w:val="24"/>
        </w:rPr>
      </w:pPr>
    </w:p>
    <w:p w:rsidR="00D65377" w:rsidRDefault="00E96642" w:rsidP="00E9664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Judiciary</w:t>
      </w:r>
      <w:r w:rsidR="00D65377">
        <w:rPr>
          <w:rFonts w:ascii="Times New Roman" w:hAnsi="Times New Roman" w:cs="Times New Roman"/>
          <w:sz w:val="24"/>
          <w:szCs w:val="24"/>
        </w:rPr>
        <w:t xml:space="preserve"> Religion and Women in the Middle West</w:t>
      </w:r>
    </w:p>
    <w:p w:rsidR="00D65377" w:rsidRDefault="00D65377" w:rsidP="00E9664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D65377" w:rsidRDefault="00D65377" w:rsidP="00E9664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D65377" w:rsidRDefault="00D65377">
      <w:pPr>
        <w:rPr>
          <w:rFonts w:ascii="Times New Roman" w:hAnsi="Times New Roman" w:cs="Times New Roman"/>
          <w:sz w:val="24"/>
          <w:szCs w:val="24"/>
        </w:rPr>
      </w:pPr>
      <w:r>
        <w:rPr>
          <w:rFonts w:ascii="Times New Roman" w:hAnsi="Times New Roman" w:cs="Times New Roman"/>
          <w:sz w:val="24"/>
          <w:szCs w:val="24"/>
        </w:rPr>
        <w:br w:type="page"/>
      </w:r>
    </w:p>
    <w:p w:rsidR="00D65377" w:rsidRDefault="00D65377" w:rsidP="00E9664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Judiciary, Religion and Women in the Middle West</w:t>
      </w:r>
    </w:p>
    <w:p w:rsidR="00D65377" w:rsidRPr="00D65377" w:rsidRDefault="00D65377" w:rsidP="00E96642">
      <w:pPr>
        <w:spacing w:after="0" w:line="480" w:lineRule="auto"/>
        <w:ind w:firstLine="720"/>
        <w:contextualSpacing/>
        <w:rPr>
          <w:rFonts w:ascii="Times New Roman" w:hAnsi="Times New Roman" w:cs="Times New Roman"/>
          <w:sz w:val="24"/>
          <w:szCs w:val="24"/>
        </w:rPr>
      </w:pPr>
      <w:r w:rsidRPr="00D65377">
        <w:rPr>
          <w:rFonts w:ascii="Times New Roman" w:hAnsi="Times New Roman" w:cs="Times New Roman"/>
          <w:sz w:val="24"/>
          <w:szCs w:val="24"/>
        </w:rPr>
        <w:t>“A History of Women in the West: Silences of the Middle Ages- Affidavits and Confessions” focus on the religion and law towards women in the medieval west. This essay will examine the several cases of legal discrimination and sexual abuse towards women in the medieval West as well as determine the role of religion towards such injustices to the women during the period mentioned in the reading. We will look at the multiple incidents from the primary speech recorded in the passage involving the two women as recorded during the interrogation.</w:t>
      </w:r>
    </w:p>
    <w:p w:rsidR="00D65377" w:rsidRPr="00D65377" w:rsidRDefault="00D65377" w:rsidP="00E96642">
      <w:pPr>
        <w:spacing w:after="0" w:line="480" w:lineRule="auto"/>
        <w:ind w:firstLine="720"/>
        <w:contextualSpacing/>
        <w:rPr>
          <w:rFonts w:ascii="Times New Roman" w:hAnsi="Times New Roman" w:cs="Times New Roman"/>
          <w:sz w:val="24"/>
          <w:szCs w:val="24"/>
        </w:rPr>
      </w:pPr>
      <w:r w:rsidRPr="00D65377">
        <w:rPr>
          <w:rFonts w:ascii="Times New Roman" w:hAnsi="Times New Roman" w:cs="Times New Roman"/>
          <w:sz w:val="24"/>
          <w:szCs w:val="24"/>
        </w:rPr>
        <w:t>Religion is seen as biased towards women, and women are denied the right to speak their mind freely (483). Preachers were biased towards women, and they denounced women as guilty of “chatter’. This was not the case with men as men’s voice was heard, whereas women’s voice was considered chatter. This is a lack of justice and can be seen as bias and favoritism. Besides, it is stated that women’s writings were never recorded and that by the end of the thirteenth century, there was no record of works written by women. This means that there was no justice and that women were denied the chance to air their voices as well as participate in writing.</w:t>
      </w:r>
    </w:p>
    <w:p w:rsidR="00D65377" w:rsidRPr="00D65377" w:rsidRDefault="00D65377" w:rsidP="00E96642">
      <w:pPr>
        <w:spacing w:after="0" w:line="480" w:lineRule="auto"/>
        <w:contextualSpacing/>
        <w:rPr>
          <w:rFonts w:ascii="Times New Roman" w:hAnsi="Times New Roman" w:cs="Times New Roman"/>
          <w:sz w:val="24"/>
          <w:szCs w:val="24"/>
        </w:rPr>
      </w:pPr>
      <w:r w:rsidRPr="00D65377">
        <w:rPr>
          <w:rFonts w:ascii="Times New Roman" w:hAnsi="Times New Roman" w:cs="Times New Roman"/>
          <w:sz w:val="24"/>
          <w:szCs w:val="24"/>
        </w:rPr>
        <w:t xml:space="preserve">The women are religiously accused of practicing witchcraft, thereby being shunned away from society. The law and culture in the era was discriminative as it prevented women from freedom of speech. Religion is also discriminatory as Beatrice’s confession led to a thorough investigation of Montaillou village, with women investigated in larger numbers than men (484). </w:t>
      </w:r>
    </w:p>
    <w:p w:rsidR="00D65377" w:rsidRPr="00D65377" w:rsidRDefault="00D65377" w:rsidP="00E96642">
      <w:pPr>
        <w:spacing w:after="0" w:line="480" w:lineRule="auto"/>
        <w:ind w:firstLine="720"/>
        <w:contextualSpacing/>
        <w:rPr>
          <w:rFonts w:ascii="Times New Roman" w:hAnsi="Times New Roman" w:cs="Times New Roman"/>
          <w:sz w:val="24"/>
          <w:szCs w:val="24"/>
        </w:rPr>
      </w:pPr>
      <w:r w:rsidRPr="00D65377">
        <w:rPr>
          <w:rFonts w:ascii="Times New Roman" w:hAnsi="Times New Roman" w:cs="Times New Roman"/>
          <w:sz w:val="24"/>
          <w:szCs w:val="24"/>
        </w:rPr>
        <w:t xml:space="preserve">Religion is filled with hypocrisy and sexual immorality. This is the case of Grazida where the priest of Montaillou first had sexual intercourse with her when she was around 14 years old (485). Priests were supposed to abstain and be free from sex; however, the reading depicts them as having concubines. Besides, the church preached against adultery, but then the priest continued to have sex with Grazida, four years after she had been officially married to her husband. This depicts hypocrisy in religion at the moment. </w:t>
      </w:r>
    </w:p>
    <w:p w:rsidR="00D65377" w:rsidRPr="00D65377" w:rsidRDefault="00D65377" w:rsidP="00E96642">
      <w:pPr>
        <w:spacing w:after="0" w:line="480" w:lineRule="auto"/>
        <w:ind w:firstLine="720"/>
        <w:contextualSpacing/>
        <w:rPr>
          <w:rFonts w:ascii="Times New Roman" w:hAnsi="Times New Roman" w:cs="Times New Roman"/>
          <w:sz w:val="24"/>
          <w:szCs w:val="24"/>
        </w:rPr>
      </w:pPr>
      <w:r w:rsidRPr="00D65377">
        <w:rPr>
          <w:rFonts w:ascii="Times New Roman" w:hAnsi="Times New Roman" w:cs="Times New Roman"/>
          <w:sz w:val="24"/>
          <w:szCs w:val="24"/>
        </w:rPr>
        <w:t xml:space="preserve">Women were viewed as sexual tools and were not protected even for those living in high places. This is evident in Beatrice’s interrogations, whereby Beatrice confessed of being raped by Raymond Clergue at the castle. The law at the time denied women the chance to choose their partners, thereby treating women as property to be possessed and sometimes shared if need be. This is the case with Beatrice’s confession, whereby she states that after her husband’s death, she was publicly claimed by the man who had previously raped her (487). </w:t>
      </w:r>
    </w:p>
    <w:p w:rsidR="00D65377" w:rsidRPr="00D65377" w:rsidRDefault="00D65377" w:rsidP="00E96642">
      <w:pPr>
        <w:spacing w:after="0" w:line="480" w:lineRule="auto"/>
        <w:ind w:firstLine="720"/>
        <w:contextualSpacing/>
        <w:rPr>
          <w:rFonts w:ascii="Times New Roman" w:hAnsi="Times New Roman" w:cs="Times New Roman"/>
          <w:sz w:val="24"/>
          <w:szCs w:val="24"/>
        </w:rPr>
      </w:pPr>
      <w:r w:rsidRPr="00D65377">
        <w:rPr>
          <w:rFonts w:ascii="Times New Roman" w:hAnsi="Times New Roman" w:cs="Times New Roman"/>
          <w:sz w:val="24"/>
          <w:szCs w:val="24"/>
        </w:rPr>
        <w:t>Justice was partial and tended to concentrate more on women than men. In this case, women were exposed to interrogation and were coerced to speak during an investigation. In the context, the two women are subjected to interrogation and are finally convicted and sentenced to life imprisonment as having been engaged in immorality and even considered witches. However, these “sexual immoralities” happened within the knowledge of men and priests and also involved the priests, who would later convict the women as guilty. The male partners in the society were not subjected to such treatment and convictions.</w:t>
      </w:r>
    </w:p>
    <w:p w:rsidR="006F2005" w:rsidRPr="00D65377" w:rsidRDefault="00D65377" w:rsidP="00E96642">
      <w:pPr>
        <w:spacing w:after="0" w:line="480" w:lineRule="auto"/>
        <w:ind w:firstLine="720"/>
        <w:contextualSpacing/>
        <w:rPr>
          <w:rFonts w:ascii="Times New Roman" w:hAnsi="Times New Roman" w:cs="Times New Roman"/>
          <w:sz w:val="24"/>
          <w:szCs w:val="24"/>
        </w:rPr>
      </w:pPr>
      <w:r w:rsidRPr="00D65377">
        <w:rPr>
          <w:rFonts w:ascii="Times New Roman" w:hAnsi="Times New Roman" w:cs="Times New Roman"/>
          <w:sz w:val="24"/>
          <w:szCs w:val="24"/>
        </w:rPr>
        <w:t>The Speech from the two women’s confession has indicated several cases where religion engaged in discrimination and unfair treatment of women. Religion should present a high level of morality and honesty, whereas the text has demonstrated it as being hypocritical and discriminatory. The incidents described in the confession and affidavit show that the Medieval West’s religion was hypocritical, with the justice system at the time being biased towards women.</w:t>
      </w:r>
      <w:r w:rsidR="006F2005" w:rsidRPr="00D65377">
        <w:rPr>
          <w:rFonts w:ascii="Times New Roman" w:hAnsi="Times New Roman" w:cs="Times New Roman"/>
          <w:sz w:val="24"/>
          <w:szCs w:val="24"/>
        </w:rPr>
        <w:br w:type="page"/>
      </w:r>
    </w:p>
    <w:p w:rsidR="006F2005" w:rsidRPr="00D65377" w:rsidRDefault="006F2005" w:rsidP="00E96642">
      <w:pPr>
        <w:spacing w:after="0" w:line="480" w:lineRule="auto"/>
        <w:contextualSpacing/>
        <w:jc w:val="center"/>
        <w:rPr>
          <w:rFonts w:ascii="Times New Roman" w:hAnsi="Times New Roman" w:cs="Times New Roman"/>
          <w:sz w:val="24"/>
          <w:szCs w:val="24"/>
        </w:rPr>
      </w:pPr>
      <w:r w:rsidRPr="00D65377">
        <w:rPr>
          <w:rFonts w:ascii="Times New Roman" w:hAnsi="Times New Roman" w:cs="Times New Roman"/>
          <w:sz w:val="24"/>
          <w:szCs w:val="24"/>
        </w:rPr>
        <w:t>Reference</w:t>
      </w:r>
    </w:p>
    <w:p w:rsidR="006F2005" w:rsidRPr="00D65377" w:rsidRDefault="006F2005" w:rsidP="00E96642">
      <w:pPr>
        <w:spacing w:after="0" w:line="480" w:lineRule="auto"/>
        <w:ind w:left="720" w:hanging="720"/>
        <w:contextualSpacing/>
        <w:rPr>
          <w:rFonts w:ascii="Times New Roman" w:hAnsi="Times New Roman" w:cs="Times New Roman"/>
          <w:sz w:val="24"/>
          <w:szCs w:val="24"/>
        </w:rPr>
      </w:pPr>
      <w:r w:rsidRPr="00D65377">
        <w:rPr>
          <w:rFonts w:ascii="Times New Roman" w:hAnsi="Times New Roman" w:cs="Times New Roman"/>
          <w:sz w:val="24"/>
          <w:szCs w:val="24"/>
        </w:rPr>
        <w:t xml:space="preserve">Duby, G. (1992). </w:t>
      </w:r>
      <w:r w:rsidRPr="00D65377">
        <w:rPr>
          <w:rFonts w:ascii="Times New Roman" w:hAnsi="Times New Roman" w:cs="Times New Roman"/>
          <w:i/>
          <w:sz w:val="24"/>
          <w:szCs w:val="24"/>
        </w:rPr>
        <w:t xml:space="preserve">A History of Women in the West: Silences of the </w:t>
      </w:r>
      <w:r w:rsidR="00D65377" w:rsidRPr="00D65377">
        <w:rPr>
          <w:rFonts w:ascii="Times New Roman" w:hAnsi="Times New Roman" w:cs="Times New Roman"/>
          <w:i/>
          <w:sz w:val="24"/>
          <w:szCs w:val="24"/>
        </w:rPr>
        <w:t>middle</w:t>
      </w:r>
      <w:r w:rsidRPr="00D65377">
        <w:rPr>
          <w:rFonts w:ascii="Times New Roman" w:hAnsi="Times New Roman" w:cs="Times New Roman"/>
          <w:i/>
          <w:sz w:val="24"/>
          <w:szCs w:val="24"/>
        </w:rPr>
        <w:t xml:space="preserve"> </w:t>
      </w:r>
      <w:r w:rsidR="00D65377" w:rsidRPr="00D65377">
        <w:rPr>
          <w:rFonts w:ascii="Times New Roman" w:hAnsi="Times New Roman" w:cs="Times New Roman"/>
          <w:i/>
          <w:sz w:val="24"/>
          <w:szCs w:val="24"/>
        </w:rPr>
        <w:t>Ages</w:t>
      </w:r>
      <w:r w:rsidR="00D65377">
        <w:rPr>
          <w:rFonts w:ascii="Times New Roman" w:hAnsi="Times New Roman" w:cs="Times New Roman"/>
          <w:i/>
          <w:sz w:val="24"/>
          <w:szCs w:val="24"/>
        </w:rPr>
        <w:t>;</w:t>
      </w:r>
      <w:r w:rsidRPr="00D65377">
        <w:rPr>
          <w:rFonts w:ascii="Times New Roman" w:hAnsi="Times New Roman" w:cs="Times New Roman"/>
          <w:i/>
          <w:sz w:val="24"/>
          <w:szCs w:val="24"/>
        </w:rPr>
        <w:t xml:space="preserve"> </w:t>
      </w:r>
      <w:r w:rsidR="00D65377" w:rsidRPr="00D65377">
        <w:rPr>
          <w:rFonts w:ascii="Times New Roman" w:hAnsi="Times New Roman" w:cs="Times New Roman"/>
          <w:i/>
          <w:sz w:val="24"/>
          <w:szCs w:val="24"/>
        </w:rPr>
        <w:t xml:space="preserve">Affidavits and </w:t>
      </w:r>
      <w:bookmarkStart w:id="0" w:name="_GoBack"/>
      <w:bookmarkEnd w:id="0"/>
      <w:r w:rsidR="00D65377" w:rsidRPr="00D65377">
        <w:rPr>
          <w:rFonts w:ascii="Times New Roman" w:hAnsi="Times New Roman" w:cs="Times New Roman"/>
          <w:i/>
          <w:sz w:val="24"/>
          <w:szCs w:val="24"/>
        </w:rPr>
        <w:t xml:space="preserve">Confessions. </w:t>
      </w:r>
      <w:r w:rsidR="00D65377" w:rsidRPr="00D65377">
        <w:rPr>
          <w:rFonts w:ascii="Times New Roman" w:hAnsi="Times New Roman" w:cs="Times New Roman"/>
          <w:sz w:val="24"/>
          <w:szCs w:val="24"/>
        </w:rPr>
        <w:t>London: The Belknap press of Harvard University Press.</w:t>
      </w:r>
    </w:p>
    <w:sectPr w:rsidR="006F2005" w:rsidRPr="00D65377" w:rsidSect="00D653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CB9" w:rsidRDefault="00404CB9" w:rsidP="00D65377">
      <w:pPr>
        <w:spacing w:after="0" w:line="240" w:lineRule="auto"/>
      </w:pPr>
      <w:r>
        <w:separator/>
      </w:r>
    </w:p>
  </w:endnote>
  <w:endnote w:type="continuationSeparator" w:id="0">
    <w:p w:rsidR="00404CB9" w:rsidRDefault="00404CB9" w:rsidP="00D65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CB9" w:rsidRDefault="00404CB9" w:rsidP="00D65377">
      <w:pPr>
        <w:spacing w:after="0" w:line="240" w:lineRule="auto"/>
      </w:pPr>
      <w:r>
        <w:separator/>
      </w:r>
    </w:p>
  </w:footnote>
  <w:footnote w:type="continuationSeparator" w:id="0">
    <w:p w:rsidR="00404CB9" w:rsidRDefault="00404CB9" w:rsidP="00D653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377" w:rsidRPr="00D65377" w:rsidRDefault="00D65377">
    <w:pPr>
      <w:pStyle w:val="Header"/>
      <w:jc w:val="right"/>
      <w:rPr>
        <w:rFonts w:ascii="Times New Roman" w:hAnsi="Times New Roman" w:cs="Times New Roman"/>
        <w:sz w:val="24"/>
        <w:szCs w:val="24"/>
      </w:rPr>
    </w:pPr>
    <w:r w:rsidRPr="00D65377">
      <w:rPr>
        <w:rFonts w:ascii="Times New Roman" w:hAnsi="Times New Roman" w:cs="Times New Roman"/>
        <w:sz w:val="24"/>
        <w:szCs w:val="24"/>
      </w:rPr>
      <w:t>JUDICIARY, RELIGION AND WOMEN IN THE MEDIEVAL WEST</w:t>
    </w:r>
    <w:r w:rsidRPr="00D65377">
      <w:rPr>
        <w:rFonts w:ascii="Times New Roman" w:hAnsi="Times New Roman" w:cs="Times New Roman"/>
        <w:sz w:val="24"/>
        <w:szCs w:val="24"/>
      </w:rPr>
      <w:tab/>
    </w:r>
    <w:sdt>
      <w:sdtPr>
        <w:rPr>
          <w:rFonts w:ascii="Times New Roman" w:hAnsi="Times New Roman" w:cs="Times New Roman"/>
          <w:sz w:val="24"/>
          <w:szCs w:val="24"/>
        </w:rPr>
        <w:id w:val="1693337621"/>
        <w:docPartObj>
          <w:docPartGallery w:val="Page Numbers (Top of Page)"/>
          <w:docPartUnique/>
        </w:docPartObj>
      </w:sdtPr>
      <w:sdtEndPr>
        <w:rPr>
          <w:noProof/>
        </w:rPr>
      </w:sdtEndPr>
      <w:sdtContent>
        <w:r w:rsidRPr="00D65377">
          <w:rPr>
            <w:rFonts w:ascii="Times New Roman" w:hAnsi="Times New Roman" w:cs="Times New Roman"/>
            <w:sz w:val="24"/>
            <w:szCs w:val="24"/>
          </w:rPr>
          <w:fldChar w:fldCharType="begin"/>
        </w:r>
        <w:r w:rsidRPr="00D65377">
          <w:rPr>
            <w:rFonts w:ascii="Times New Roman" w:hAnsi="Times New Roman" w:cs="Times New Roman"/>
            <w:sz w:val="24"/>
            <w:szCs w:val="24"/>
          </w:rPr>
          <w:instrText xml:space="preserve"> PAGE   \* MERGEFORMAT </w:instrText>
        </w:r>
        <w:r w:rsidRPr="00D65377">
          <w:rPr>
            <w:rFonts w:ascii="Times New Roman" w:hAnsi="Times New Roman" w:cs="Times New Roman"/>
            <w:sz w:val="24"/>
            <w:szCs w:val="24"/>
          </w:rPr>
          <w:fldChar w:fldCharType="separate"/>
        </w:r>
        <w:r w:rsidR="00E96642">
          <w:rPr>
            <w:rFonts w:ascii="Times New Roman" w:hAnsi="Times New Roman" w:cs="Times New Roman"/>
            <w:noProof/>
            <w:sz w:val="24"/>
            <w:szCs w:val="24"/>
          </w:rPr>
          <w:t>2</w:t>
        </w:r>
        <w:r w:rsidRPr="00D6537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377" w:rsidRPr="00D65377" w:rsidRDefault="00D65377" w:rsidP="00D65377">
    <w:pPr>
      <w:pStyle w:val="Header"/>
      <w:jc w:val="right"/>
      <w:rPr>
        <w:rFonts w:ascii="Times New Roman" w:hAnsi="Times New Roman" w:cs="Times New Roman"/>
        <w:sz w:val="24"/>
        <w:szCs w:val="24"/>
      </w:rPr>
    </w:pPr>
    <w:r w:rsidRPr="00D65377">
      <w:rPr>
        <w:rFonts w:ascii="Times New Roman" w:hAnsi="Times New Roman" w:cs="Times New Roman"/>
        <w:sz w:val="24"/>
        <w:szCs w:val="24"/>
      </w:rPr>
      <w:t>Running head: JUDICIARY, RELIGION AND WOMEN IN THE MEDIEVAL WEST</w:t>
    </w:r>
    <w:r w:rsidRPr="00D65377">
      <w:rPr>
        <w:rFonts w:ascii="Times New Roman" w:hAnsi="Times New Roman" w:cs="Times New Roman"/>
        <w:sz w:val="24"/>
        <w:szCs w:val="24"/>
      </w:rPr>
      <w:tab/>
    </w:r>
    <w:sdt>
      <w:sdtPr>
        <w:rPr>
          <w:rFonts w:ascii="Times New Roman" w:hAnsi="Times New Roman" w:cs="Times New Roman"/>
          <w:sz w:val="24"/>
          <w:szCs w:val="24"/>
        </w:rPr>
        <w:id w:val="-1108742503"/>
        <w:docPartObj>
          <w:docPartGallery w:val="Page Numbers (Top of Page)"/>
          <w:docPartUnique/>
        </w:docPartObj>
      </w:sdtPr>
      <w:sdtEndPr>
        <w:rPr>
          <w:noProof/>
        </w:rPr>
      </w:sdtEndPr>
      <w:sdtContent>
        <w:r w:rsidRPr="00D65377">
          <w:rPr>
            <w:rFonts w:ascii="Times New Roman" w:hAnsi="Times New Roman" w:cs="Times New Roman"/>
            <w:sz w:val="24"/>
            <w:szCs w:val="24"/>
          </w:rPr>
          <w:fldChar w:fldCharType="begin"/>
        </w:r>
        <w:r w:rsidRPr="00D65377">
          <w:rPr>
            <w:rFonts w:ascii="Times New Roman" w:hAnsi="Times New Roman" w:cs="Times New Roman"/>
            <w:sz w:val="24"/>
            <w:szCs w:val="24"/>
          </w:rPr>
          <w:instrText xml:space="preserve"> PAGE   \* MERGEFORMAT </w:instrText>
        </w:r>
        <w:r w:rsidRPr="00D65377">
          <w:rPr>
            <w:rFonts w:ascii="Times New Roman" w:hAnsi="Times New Roman" w:cs="Times New Roman"/>
            <w:sz w:val="24"/>
            <w:szCs w:val="24"/>
          </w:rPr>
          <w:fldChar w:fldCharType="separate"/>
        </w:r>
        <w:r w:rsidR="00404CB9">
          <w:rPr>
            <w:rFonts w:ascii="Times New Roman" w:hAnsi="Times New Roman" w:cs="Times New Roman"/>
            <w:noProof/>
            <w:sz w:val="24"/>
            <w:szCs w:val="24"/>
          </w:rPr>
          <w:t>1</w:t>
        </w:r>
        <w:r w:rsidRPr="00D65377">
          <w:rPr>
            <w:rFonts w:ascii="Times New Roman" w:hAnsi="Times New Roman" w:cs="Times New Roman"/>
            <w:noProof/>
            <w:sz w:val="24"/>
            <w:szCs w:val="24"/>
          </w:rPr>
          <w:fldChar w:fldCharType="end"/>
        </w:r>
      </w:sdtContent>
    </w:sdt>
  </w:p>
  <w:p w:rsidR="00D65377" w:rsidRPr="00D65377" w:rsidRDefault="00D65377" w:rsidP="00D653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wNrUwMjQ2M7UwM7BQ0lEKTi0uzszPAykwrAUA4ln/6CwAAAA="/>
  </w:docVars>
  <w:rsids>
    <w:rsidRoot w:val="006C4C65"/>
    <w:rsid w:val="00133793"/>
    <w:rsid w:val="00291DAD"/>
    <w:rsid w:val="00404CB9"/>
    <w:rsid w:val="006C4C65"/>
    <w:rsid w:val="006F2005"/>
    <w:rsid w:val="008D5E80"/>
    <w:rsid w:val="009B2397"/>
    <w:rsid w:val="00A35BCE"/>
    <w:rsid w:val="00D65377"/>
    <w:rsid w:val="00E96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377"/>
  </w:style>
  <w:style w:type="paragraph" w:styleId="Footer">
    <w:name w:val="footer"/>
    <w:basedOn w:val="Normal"/>
    <w:link w:val="FooterChar"/>
    <w:uiPriority w:val="99"/>
    <w:unhideWhenUsed/>
    <w:rsid w:val="00D65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3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377"/>
  </w:style>
  <w:style w:type="paragraph" w:styleId="Footer">
    <w:name w:val="footer"/>
    <w:basedOn w:val="Normal"/>
    <w:link w:val="FooterChar"/>
    <w:uiPriority w:val="99"/>
    <w:unhideWhenUsed/>
    <w:rsid w:val="00D65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2019-03-14T11:30:00Z</dcterms:created>
  <dcterms:modified xsi:type="dcterms:W3CDTF">2019-03-14T11:30:00Z</dcterms:modified>
</cp:coreProperties>
</file>