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4BE9F" w14:textId="77777777" w:rsidR="00990E99" w:rsidRDefault="00990E99" w:rsidP="00990E99">
      <w:pPr>
        <w:spacing w:line="480" w:lineRule="auto"/>
        <w:ind w:firstLine="720"/>
        <w:contextualSpacing/>
        <w:rPr>
          <w:rFonts w:ascii="Times New Roman" w:hAnsi="Times New Roman" w:cs="Times New Roman"/>
          <w:sz w:val="24"/>
          <w:szCs w:val="24"/>
        </w:rPr>
      </w:pPr>
    </w:p>
    <w:p w14:paraId="2507B071" w14:textId="77777777" w:rsidR="00990E99" w:rsidRDefault="00990E99" w:rsidP="00990E99">
      <w:pPr>
        <w:spacing w:line="480" w:lineRule="auto"/>
        <w:ind w:firstLine="720"/>
        <w:contextualSpacing/>
        <w:rPr>
          <w:rFonts w:ascii="Times New Roman" w:hAnsi="Times New Roman" w:cs="Times New Roman"/>
          <w:sz w:val="24"/>
          <w:szCs w:val="24"/>
        </w:rPr>
      </w:pPr>
    </w:p>
    <w:p w14:paraId="6F314570" w14:textId="77777777" w:rsidR="00990E99" w:rsidRDefault="00990E99" w:rsidP="00990E99">
      <w:pPr>
        <w:spacing w:line="480" w:lineRule="auto"/>
        <w:ind w:firstLine="720"/>
        <w:contextualSpacing/>
        <w:rPr>
          <w:rFonts w:ascii="Times New Roman" w:hAnsi="Times New Roman" w:cs="Times New Roman"/>
          <w:sz w:val="24"/>
          <w:szCs w:val="24"/>
        </w:rPr>
      </w:pPr>
    </w:p>
    <w:p w14:paraId="09A9EDA5" w14:textId="77777777" w:rsidR="00990E99" w:rsidRDefault="00990E99" w:rsidP="00990E99">
      <w:pPr>
        <w:spacing w:line="480" w:lineRule="auto"/>
        <w:ind w:firstLine="720"/>
        <w:contextualSpacing/>
        <w:rPr>
          <w:rFonts w:ascii="Times New Roman" w:hAnsi="Times New Roman" w:cs="Times New Roman"/>
          <w:sz w:val="24"/>
          <w:szCs w:val="24"/>
        </w:rPr>
      </w:pPr>
    </w:p>
    <w:p w14:paraId="6367271E" w14:textId="70B302FE" w:rsidR="00990E99" w:rsidRDefault="00990E99" w:rsidP="00990E99">
      <w:pPr>
        <w:spacing w:line="480" w:lineRule="auto"/>
        <w:ind w:firstLine="720"/>
        <w:contextualSpacing/>
        <w:rPr>
          <w:rFonts w:ascii="Times New Roman" w:hAnsi="Times New Roman" w:cs="Times New Roman"/>
          <w:sz w:val="24"/>
          <w:szCs w:val="24"/>
        </w:rPr>
      </w:pPr>
    </w:p>
    <w:p w14:paraId="1E86C3E2" w14:textId="33158773" w:rsidR="00990E99" w:rsidRDefault="00990E99" w:rsidP="00990E99">
      <w:pPr>
        <w:spacing w:line="480" w:lineRule="auto"/>
        <w:ind w:firstLine="720"/>
        <w:contextualSpacing/>
        <w:rPr>
          <w:rFonts w:ascii="Times New Roman" w:hAnsi="Times New Roman" w:cs="Times New Roman"/>
          <w:sz w:val="24"/>
          <w:szCs w:val="24"/>
        </w:rPr>
      </w:pPr>
    </w:p>
    <w:p w14:paraId="5BFA1227" w14:textId="79A67909" w:rsidR="00990E99" w:rsidRDefault="00990E99" w:rsidP="00990E9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Freedom of Speech in Advertisement</w:t>
      </w:r>
    </w:p>
    <w:p w14:paraId="027E537F" w14:textId="4355E11D" w:rsidR="00990E99" w:rsidRDefault="00990E99" w:rsidP="00990E99">
      <w:pPr>
        <w:spacing w:line="480" w:lineRule="auto"/>
        <w:ind w:firstLine="720"/>
        <w:contextualSpacing/>
        <w:jc w:val="center"/>
        <w:rPr>
          <w:rFonts w:ascii="Times New Roman" w:hAnsi="Times New Roman" w:cs="Times New Roman"/>
          <w:sz w:val="24"/>
          <w:szCs w:val="24"/>
        </w:rPr>
      </w:pPr>
    </w:p>
    <w:p w14:paraId="50A9F54C" w14:textId="23343456" w:rsidR="00990E99" w:rsidRDefault="00990E99" w:rsidP="00990E99">
      <w:pPr>
        <w:spacing w:line="480" w:lineRule="auto"/>
        <w:ind w:firstLine="720"/>
        <w:contextualSpacing/>
        <w:jc w:val="center"/>
        <w:rPr>
          <w:rFonts w:ascii="Times New Roman" w:hAnsi="Times New Roman" w:cs="Times New Roman"/>
          <w:sz w:val="24"/>
          <w:szCs w:val="24"/>
        </w:rPr>
      </w:pPr>
    </w:p>
    <w:p w14:paraId="24C884E9" w14:textId="3B9FA4EE" w:rsidR="00990E99" w:rsidRDefault="00990E99" w:rsidP="00990E99">
      <w:pPr>
        <w:spacing w:line="480" w:lineRule="auto"/>
        <w:ind w:firstLine="720"/>
        <w:contextualSpacing/>
        <w:jc w:val="center"/>
        <w:rPr>
          <w:rFonts w:ascii="Times New Roman" w:hAnsi="Times New Roman" w:cs="Times New Roman"/>
          <w:sz w:val="24"/>
          <w:szCs w:val="24"/>
        </w:rPr>
      </w:pPr>
    </w:p>
    <w:p w14:paraId="11D054FD" w14:textId="27A05CEC" w:rsidR="00990E99" w:rsidRDefault="00990E99" w:rsidP="00990E9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4E19938A" w14:textId="40EA67FF" w:rsidR="00990E99" w:rsidRDefault="00990E99" w:rsidP="00990E9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7BA47301" w14:textId="2C8F2301" w:rsidR="00990E99" w:rsidRDefault="00990E99" w:rsidP="00990E9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5446DB6D" w14:textId="49EF5D79" w:rsidR="00990E99" w:rsidRDefault="00990E99" w:rsidP="00990E9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14:paraId="7082D704" w14:textId="6EE7A117" w:rsidR="00990E99" w:rsidRDefault="00990E99" w:rsidP="00990E9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38C95462" w14:textId="77777777" w:rsidR="00990E99" w:rsidRDefault="00990E99" w:rsidP="00990E99">
      <w:pPr>
        <w:spacing w:line="480" w:lineRule="auto"/>
        <w:ind w:firstLine="720"/>
        <w:contextualSpacing/>
        <w:jc w:val="center"/>
        <w:rPr>
          <w:rFonts w:ascii="Times New Roman" w:hAnsi="Times New Roman" w:cs="Times New Roman"/>
          <w:sz w:val="24"/>
          <w:szCs w:val="24"/>
        </w:rPr>
      </w:pPr>
    </w:p>
    <w:p w14:paraId="54F1E5EB" w14:textId="77777777" w:rsidR="00990E99" w:rsidRDefault="00990E99" w:rsidP="00990E99">
      <w:pPr>
        <w:spacing w:line="480" w:lineRule="auto"/>
        <w:ind w:firstLine="720"/>
        <w:contextualSpacing/>
        <w:rPr>
          <w:rFonts w:ascii="Times New Roman" w:hAnsi="Times New Roman" w:cs="Times New Roman"/>
          <w:sz w:val="24"/>
          <w:szCs w:val="24"/>
        </w:rPr>
      </w:pPr>
    </w:p>
    <w:p w14:paraId="44A3DA09" w14:textId="77777777" w:rsidR="00990E99" w:rsidRDefault="00990E99" w:rsidP="00990E99">
      <w:pPr>
        <w:spacing w:line="480" w:lineRule="auto"/>
        <w:ind w:firstLine="720"/>
        <w:contextualSpacing/>
        <w:rPr>
          <w:rFonts w:ascii="Times New Roman" w:hAnsi="Times New Roman" w:cs="Times New Roman"/>
          <w:sz w:val="24"/>
          <w:szCs w:val="24"/>
        </w:rPr>
      </w:pPr>
    </w:p>
    <w:p w14:paraId="0BC8A757" w14:textId="77777777" w:rsidR="00990E99" w:rsidRDefault="00990E99" w:rsidP="00990E99">
      <w:pPr>
        <w:spacing w:line="480" w:lineRule="auto"/>
        <w:ind w:firstLine="720"/>
        <w:contextualSpacing/>
        <w:rPr>
          <w:rFonts w:ascii="Times New Roman" w:hAnsi="Times New Roman" w:cs="Times New Roman"/>
          <w:sz w:val="24"/>
          <w:szCs w:val="24"/>
        </w:rPr>
      </w:pPr>
    </w:p>
    <w:p w14:paraId="44504827" w14:textId="77777777" w:rsidR="00990E99" w:rsidRDefault="00990E99" w:rsidP="00990E99">
      <w:pPr>
        <w:spacing w:line="480" w:lineRule="auto"/>
        <w:ind w:firstLine="720"/>
        <w:contextualSpacing/>
        <w:rPr>
          <w:rFonts w:ascii="Times New Roman" w:hAnsi="Times New Roman" w:cs="Times New Roman"/>
          <w:sz w:val="24"/>
          <w:szCs w:val="24"/>
        </w:rPr>
      </w:pPr>
    </w:p>
    <w:p w14:paraId="5612C04E" w14:textId="77777777" w:rsidR="00990E99" w:rsidRDefault="00990E99" w:rsidP="00990E99">
      <w:pPr>
        <w:spacing w:line="480" w:lineRule="auto"/>
        <w:ind w:firstLine="720"/>
        <w:contextualSpacing/>
        <w:rPr>
          <w:rFonts w:ascii="Times New Roman" w:hAnsi="Times New Roman" w:cs="Times New Roman"/>
          <w:sz w:val="24"/>
          <w:szCs w:val="24"/>
        </w:rPr>
      </w:pPr>
    </w:p>
    <w:p w14:paraId="451A84B3" w14:textId="77777777" w:rsidR="00990E99" w:rsidRDefault="00990E99" w:rsidP="00990E99">
      <w:pPr>
        <w:spacing w:line="480" w:lineRule="auto"/>
        <w:ind w:firstLine="720"/>
        <w:contextualSpacing/>
        <w:rPr>
          <w:rFonts w:ascii="Times New Roman" w:hAnsi="Times New Roman" w:cs="Times New Roman"/>
          <w:sz w:val="24"/>
          <w:szCs w:val="24"/>
        </w:rPr>
      </w:pPr>
    </w:p>
    <w:p w14:paraId="1C94C1A5" w14:textId="77777777" w:rsidR="00990E99" w:rsidRDefault="00990E99" w:rsidP="00990E99">
      <w:pPr>
        <w:spacing w:line="480" w:lineRule="auto"/>
        <w:contextualSpacing/>
        <w:rPr>
          <w:rFonts w:ascii="Times New Roman" w:hAnsi="Times New Roman" w:cs="Times New Roman"/>
          <w:sz w:val="24"/>
          <w:szCs w:val="24"/>
        </w:rPr>
      </w:pPr>
    </w:p>
    <w:p w14:paraId="20E931D5" w14:textId="2EC6491C" w:rsidR="00292A8B" w:rsidRDefault="00990E99" w:rsidP="00990E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According to Merrill (1976), o</w:t>
      </w:r>
      <w:r w:rsidR="00D534E4">
        <w:rPr>
          <w:rFonts w:ascii="Times New Roman" w:hAnsi="Times New Roman" w:cs="Times New Roman"/>
          <w:sz w:val="24"/>
          <w:szCs w:val="24"/>
        </w:rPr>
        <w:t xml:space="preserve">ver the years, the extent to which the government imposes regulations on </w:t>
      </w:r>
      <w:r>
        <w:rPr>
          <w:rFonts w:ascii="Times New Roman" w:hAnsi="Times New Roman" w:cs="Times New Roman"/>
          <w:sz w:val="24"/>
          <w:szCs w:val="24"/>
        </w:rPr>
        <w:t xml:space="preserve">the </w:t>
      </w:r>
      <w:r w:rsidR="00D534E4">
        <w:rPr>
          <w:rFonts w:ascii="Times New Roman" w:hAnsi="Times New Roman" w:cs="Times New Roman"/>
          <w:sz w:val="24"/>
          <w:szCs w:val="24"/>
        </w:rPr>
        <w:t>commercial advertisement has been a thorny issue</w:t>
      </w:r>
      <w:r>
        <w:rPr>
          <w:rFonts w:ascii="Times New Roman" w:hAnsi="Times New Roman" w:cs="Times New Roman"/>
          <w:sz w:val="24"/>
          <w:szCs w:val="24"/>
        </w:rPr>
        <w:t xml:space="preserve"> in defining the first amendment's parameters</w:t>
      </w:r>
      <w:r w:rsidR="00D534E4">
        <w:rPr>
          <w:rFonts w:ascii="Times New Roman" w:hAnsi="Times New Roman" w:cs="Times New Roman"/>
          <w:sz w:val="24"/>
          <w:szCs w:val="24"/>
        </w:rPr>
        <w:t>. Essentially, advertisement is covered by the first amendment</w:t>
      </w:r>
      <w:r>
        <w:rPr>
          <w:rFonts w:ascii="Times New Roman" w:hAnsi="Times New Roman" w:cs="Times New Roman"/>
          <w:sz w:val="24"/>
          <w:szCs w:val="24"/>
        </w:rPr>
        <w:t>. H</w:t>
      </w:r>
      <w:r w:rsidR="00D534E4">
        <w:rPr>
          <w:rFonts w:ascii="Times New Roman" w:hAnsi="Times New Roman" w:cs="Times New Roman"/>
          <w:sz w:val="24"/>
          <w:szCs w:val="24"/>
        </w:rPr>
        <w:t xml:space="preserve">owever, notably, </w:t>
      </w:r>
      <w:r>
        <w:rPr>
          <w:rFonts w:ascii="Times New Roman" w:hAnsi="Times New Roman" w:cs="Times New Roman"/>
          <w:sz w:val="24"/>
          <w:szCs w:val="24"/>
        </w:rPr>
        <w:t>advertisements for commercial purposes are less immune from government meddling than</w:t>
      </w:r>
      <w:r w:rsidR="00D534E4">
        <w:rPr>
          <w:rFonts w:ascii="Times New Roman" w:hAnsi="Times New Roman" w:cs="Times New Roman"/>
          <w:sz w:val="24"/>
          <w:szCs w:val="24"/>
        </w:rPr>
        <w:t xml:space="preserve"> other forms of advertisement. For exam</w:t>
      </w:r>
      <w:r>
        <w:rPr>
          <w:rFonts w:ascii="Times New Roman" w:hAnsi="Times New Roman" w:cs="Times New Roman"/>
          <w:sz w:val="24"/>
          <w:szCs w:val="24"/>
        </w:rPr>
        <w:t>ple</w:t>
      </w:r>
      <w:r w:rsidR="00D534E4">
        <w:rPr>
          <w:rFonts w:ascii="Times New Roman" w:hAnsi="Times New Roman" w:cs="Times New Roman"/>
          <w:sz w:val="24"/>
          <w:szCs w:val="24"/>
        </w:rPr>
        <w:t xml:space="preserve">, the Federal Trade Commission (FTC), according to Lawpublish (2015), has the power to prevent any speech considered </w:t>
      </w:r>
      <w:r w:rsidR="00F47F2E">
        <w:rPr>
          <w:rFonts w:ascii="Times New Roman" w:hAnsi="Times New Roman" w:cs="Times New Roman"/>
          <w:sz w:val="24"/>
          <w:szCs w:val="24"/>
        </w:rPr>
        <w:t>false</w:t>
      </w:r>
      <w:r w:rsidR="00D534E4">
        <w:rPr>
          <w:rFonts w:ascii="Times New Roman" w:hAnsi="Times New Roman" w:cs="Times New Roman"/>
          <w:sz w:val="24"/>
          <w:szCs w:val="24"/>
        </w:rPr>
        <w:t xml:space="preserve"> and deceptive. The journey towards the current semblance of protection of advertisement by the first amendment has been legally and ethically challenging. Some court rulings have helped drive this journey forward.</w:t>
      </w:r>
    </w:p>
    <w:p w14:paraId="784A0432" w14:textId="7ED5A49D" w:rsidR="00D534E4" w:rsidRDefault="00D534E4" w:rsidP="00990E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earliest legal cases surrounding freedom </w:t>
      </w:r>
      <w:r w:rsidR="00990E99">
        <w:rPr>
          <w:rFonts w:ascii="Times New Roman" w:hAnsi="Times New Roman" w:cs="Times New Roman"/>
          <w:sz w:val="24"/>
          <w:szCs w:val="24"/>
        </w:rPr>
        <w:t xml:space="preserve">of </w:t>
      </w:r>
      <w:r>
        <w:rPr>
          <w:rFonts w:ascii="Times New Roman" w:hAnsi="Times New Roman" w:cs="Times New Roman"/>
          <w:sz w:val="24"/>
          <w:szCs w:val="24"/>
        </w:rPr>
        <w:t xml:space="preserve">speech in </w:t>
      </w:r>
      <w:r w:rsidR="00990E99">
        <w:rPr>
          <w:rFonts w:ascii="Times New Roman" w:hAnsi="Times New Roman" w:cs="Times New Roman"/>
          <w:sz w:val="24"/>
          <w:szCs w:val="24"/>
        </w:rPr>
        <w:t xml:space="preserve">an </w:t>
      </w:r>
      <w:r>
        <w:rPr>
          <w:rFonts w:ascii="Times New Roman" w:hAnsi="Times New Roman" w:cs="Times New Roman"/>
          <w:sz w:val="24"/>
          <w:szCs w:val="24"/>
        </w:rPr>
        <w:t>advertisement i</w:t>
      </w:r>
      <w:r w:rsidR="00990E99">
        <w:rPr>
          <w:rFonts w:ascii="Times New Roman" w:hAnsi="Times New Roman" w:cs="Times New Roman"/>
          <w:sz w:val="24"/>
          <w:szCs w:val="24"/>
        </w:rPr>
        <w:t xml:space="preserve">s </w:t>
      </w:r>
      <w:r>
        <w:rPr>
          <w:rFonts w:ascii="Times New Roman" w:hAnsi="Times New Roman" w:cs="Times New Roman"/>
          <w:i/>
          <w:iCs/>
          <w:sz w:val="24"/>
          <w:szCs w:val="24"/>
        </w:rPr>
        <w:t>Bigelow v. Virginia</w:t>
      </w:r>
      <w:r>
        <w:rPr>
          <w:rFonts w:ascii="Times New Roman" w:hAnsi="Times New Roman" w:cs="Times New Roman"/>
          <w:sz w:val="24"/>
          <w:szCs w:val="24"/>
        </w:rPr>
        <w:t xml:space="preserve">, 1975. Until 1975, the courts continued to have ambiguity over the protection of freedom of speech for advertisers. This landmark case was about an abortion clinic that advertised </w:t>
      </w:r>
      <w:r w:rsidR="00990E99">
        <w:rPr>
          <w:rFonts w:ascii="Times New Roman" w:hAnsi="Times New Roman" w:cs="Times New Roman"/>
          <w:sz w:val="24"/>
          <w:szCs w:val="24"/>
        </w:rPr>
        <w:t>its</w:t>
      </w:r>
      <w:r>
        <w:rPr>
          <w:rFonts w:ascii="Times New Roman" w:hAnsi="Times New Roman" w:cs="Times New Roman"/>
          <w:sz w:val="24"/>
          <w:szCs w:val="24"/>
        </w:rPr>
        <w:t xml:space="preserve"> services in the local paper. Bigelow, the managing editor of the local newspaper</w:t>
      </w:r>
      <w:r w:rsidR="00990E99">
        <w:rPr>
          <w:rFonts w:ascii="Times New Roman" w:hAnsi="Times New Roman" w:cs="Times New Roman"/>
          <w:sz w:val="24"/>
          <w:szCs w:val="24"/>
        </w:rPr>
        <w:t>,</w:t>
      </w:r>
      <w:r>
        <w:rPr>
          <w:rFonts w:ascii="Times New Roman" w:hAnsi="Times New Roman" w:cs="Times New Roman"/>
          <w:sz w:val="24"/>
          <w:szCs w:val="24"/>
        </w:rPr>
        <w:t xml:space="preserve"> was indicted and found guilty of a misdemeanor, running an advert that encouraged women to procure abortions. After several appeals, the case was taken to the </w:t>
      </w:r>
      <w:r w:rsidR="00F47F2E">
        <w:rPr>
          <w:rFonts w:ascii="Times New Roman" w:hAnsi="Times New Roman" w:cs="Times New Roman"/>
          <w:sz w:val="24"/>
          <w:szCs w:val="24"/>
        </w:rPr>
        <w:t>Supreme Court</w:t>
      </w:r>
      <w:r w:rsidR="00990E99">
        <w:rPr>
          <w:rFonts w:ascii="Times New Roman" w:hAnsi="Times New Roman" w:cs="Times New Roman"/>
          <w:sz w:val="24"/>
          <w:szCs w:val="24"/>
        </w:rPr>
        <w:t>,</w:t>
      </w:r>
      <w:r>
        <w:rPr>
          <w:rFonts w:ascii="Times New Roman" w:hAnsi="Times New Roman" w:cs="Times New Roman"/>
          <w:sz w:val="24"/>
          <w:szCs w:val="24"/>
        </w:rPr>
        <w:t xml:space="preserve"> which overturned the earlier conviction. In its ruling, the </w:t>
      </w:r>
      <w:r w:rsidR="00F47F2E">
        <w:rPr>
          <w:rFonts w:ascii="Times New Roman" w:hAnsi="Times New Roman" w:cs="Times New Roman"/>
          <w:sz w:val="24"/>
          <w:szCs w:val="24"/>
        </w:rPr>
        <w:t>Supreme Court</w:t>
      </w:r>
      <w:r>
        <w:rPr>
          <w:rFonts w:ascii="Times New Roman" w:hAnsi="Times New Roman" w:cs="Times New Roman"/>
          <w:sz w:val="24"/>
          <w:szCs w:val="24"/>
        </w:rPr>
        <w:t xml:space="preserve"> argued that </w:t>
      </w:r>
      <w:r w:rsidR="00990E99">
        <w:rPr>
          <w:rFonts w:ascii="Times New Roman" w:hAnsi="Times New Roman" w:cs="Times New Roman"/>
          <w:sz w:val="24"/>
          <w:szCs w:val="24"/>
        </w:rPr>
        <w:t>the first amendment protected advertise</w:t>
      </w:r>
      <w:r>
        <w:rPr>
          <w:rFonts w:ascii="Times New Roman" w:hAnsi="Times New Roman" w:cs="Times New Roman"/>
          <w:sz w:val="24"/>
          <w:szCs w:val="24"/>
        </w:rPr>
        <w:t xml:space="preserve">ment. </w:t>
      </w:r>
      <w:r w:rsidR="00F47F2E">
        <w:rPr>
          <w:rFonts w:ascii="Times New Roman" w:hAnsi="Times New Roman" w:cs="Times New Roman"/>
          <w:sz w:val="24"/>
          <w:szCs w:val="24"/>
        </w:rPr>
        <w:t>In addition</w:t>
      </w:r>
      <w:r>
        <w:rPr>
          <w:rFonts w:ascii="Times New Roman" w:hAnsi="Times New Roman" w:cs="Times New Roman"/>
          <w:sz w:val="24"/>
          <w:szCs w:val="24"/>
        </w:rPr>
        <w:t xml:space="preserve">, the court ruled that, by being printed, an advert did not lose its status as a free expression. </w:t>
      </w:r>
    </w:p>
    <w:p w14:paraId="38EDF350" w14:textId="67DFCC45" w:rsidR="00D534E4" w:rsidRDefault="00D534E4" w:rsidP="00990E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47F2E">
        <w:rPr>
          <w:rFonts w:ascii="Times New Roman" w:hAnsi="Times New Roman" w:cs="Times New Roman"/>
          <w:sz w:val="24"/>
          <w:szCs w:val="24"/>
        </w:rPr>
        <w:t>Supreme Court</w:t>
      </w:r>
      <w:r>
        <w:rPr>
          <w:rFonts w:ascii="Times New Roman" w:hAnsi="Times New Roman" w:cs="Times New Roman"/>
          <w:sz w:val="24"/>
          <w:szCs w:val="24"/>
        </w:rPr>
        <w:t xml:space="preserve"> also ruled that the advert transcended the proposition for a commercial transaction. On the contrary, the advertisement contained factual data, evidently in the </w:t>
      </w:r>
      <w:r w:rsidR="00F47F2E">
        <w:rPr>
          <w:rFonts w:ascii="Times New Roman" w:hAnsi="Times New Roman" w:cs="Times New Roman"/>
          <w:sz w:val="24"/>
          <w:szCs w:val="24"/>
        </w:rPr>
        <w:t>public’s</w:t>
      </w:r>
      <w:r>
        <w:rPr>
          <w:rFonts w:ascii="Times New Roman" w:hAnsi="Times New Roman" w:cs="Times New Roman"/>
          <w:sz w:val="24"/>
          <w:szCs w:val="24"/>
        </w:rPr>
        <w:t xml:space="preserve"> interests, and appealed to </w:t>
      </w:r>
      <w:r w:rsidR="00990E99">
        <w:rPr>
          <w:rFonts w:ascii="Times New Roman" w:hAnsi="Times New Roman" w:cs="Times New Roman"/>
          <w:sz w:val="24"/>
          <w:szCs w:val="24"/>
        </w:rPr>
        <w:t xml:space="preserve">an </w:t>
      </w:r>
      <w:r>
        <w:rPr>
          <w:rFonts w:ascii="Times New Roman" w:hAnsi="Times New Roman" w:cs="Times New Roman"/>
          <w:sz w:val="24"/>
          <w:szCs w:val="24"/>
        </w:rPr>
        <w:t xml:space="preserve">audience of diverse backgrounds. Therefore, the court freed Bigelow on the </w:t>
      </w:r>
      <w:r w:rsidR="00990E99">
        <w:rPr>
          <w:rFonts w:ascii="Times New Roman" w:hAnsi="Times New Roman" w:cs="Times New Roman"/>
          <w:sz w:val="24"/>
          <w:szCs w:val="24"/>
        </w:rPr>
        <w:t>premise</w:t>
      </w:r>
      <w:r>
        <w:rPr>
          <w:rFonts w:ascii="Times New Roman" w:hAnsi="Times New Roman" w:cs="Times New Roman"/>
          <w:sz w:val="24"/>
          <w:szCs w:val="24"/>
        </w:rPr>
        <w:t xml:space="preserve"> </w:t>
      </w:r>
      <w:r w:rsidR="00990E99">
        <w:rPr>
          <w:rFonts w:ascii="Times New Roman" w:hAnsi="Times New Roman" w:cs="Times New Roman"/>
          <w:sz w:val="24"/>
          <w:szCs w:val="24"/>
        </w:rPr>
        <w:t xml:space="preserve">that </w:t>
      </w:r>
      <w:r>
        <w:rPr>
          <w:rFonts w:ascii="Times New Roman" w:hAnsi="Times New Roman" w:cs="Times New Roman"/>
          <w:sz w:val="24"/>
          <w:szCs w:val="24"/>
        </w:rPr>
        <w:t xml:space="preserve">he had not breached any advertisement laws and that the </w:t>
      </w:r>
      <w:r w:rsidR="00990E99">
        <w:rPr>
          <w:rFonts w:ascii="Times New Roman" w:hAnsi="Times New Roman" w:cs="Times New Roman"/>
          <w:sz w:val="24"/>
          <w:szCs w:val="24"/>
        </w:rPr>
        <w:t>constitution's first amendment protected the advert despite being printed</w:t>
      </w:r>
      <w:r>
        <w:rPr>
          <w:rFonts w:ascii="Times New Roman" w:hAnsi="Times New Roman" w:cs="Times New Roman"/>
          <w:sz w:val="24"/>
          <w:szCs w:val="24"/>
        </w:rPr>
        <w:t>.</w:t>
      </w:r>
      <w:r w:rsidR="00BE1DDE">
        <w:rPr>
          <w:rFonts w:ascii="Times New Roman" w:hAnsi="Times New Roman" w:cs="Times New Roman"/>
          <w:sz w:val="24"/>
          <w:szCs w:val="24"/>
        </w:rPr>
        <w:t xml:space="preserve"> </w:t>
      </w:r>
    </w:p>
    <w:p w14:paraId="3790DFBD" w14:textId="52838C9A" w:rsidR="00BE1DDE" w:rsidRDefault="00BE1DDE" w:rsidP="00990E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Bigelow V Virginia ruling has brough</w:t>
      </w:r>
      <w:r w:rsidR="00990E99">
        <w:rPr>
          <w:rFonts w:ascii="Times New Roman" w:hAnsi="Times New Roman" w:cs="Times New Roman"/>
          <w:sz w:val="24"/>
          <w:szCs w:val="24"/>
        </w:rPr>
        <w:t>t</w:t>
      </w:r>
      <w:r>
        <w:rPr>
          <w:rFonts w:ascii="Times New Roman" w:hAnsi="Times New Roman" w:cs="Times New Roman"/>
          <w:sz w:val="24"/>
          <w:szCs w:val="24"/>
        </w:rPr>
        <w:t xml:space="preserve"> hope for the advertisement community by setting new standards for measuring the freedom of speech in advertisement with specific consideration for the publics</w:t>
      </w:r>
      <w:r w:rsidR="00990E99">
        <w:rPr>
          <w:rFonts w:ascii="Times New Roman" w:hAnsi="Times New Roman" w:cs="Times New Roman"/>
          <w:sz w:val="24"/>
          <w:szCs w:val="24"/>
        </w:rPr>
        <w:t>'</w:t>
      </w:r>
      <w:r>
        <w:rPr>
          <w:rFonts w:ascii="Times New Roman" w:hAnsi="Times New Roman" w:cs="Times New Roman"/>
          <w:sz w:val="24"/>
          <w:szCs w:val="24"/>
        </w:rPr>
        <w:t xml:space="preserve"> interests. Notably, the new standards did not exhaustively cover all parameters of advertisement and the constructs of the first amendment</w:t>
      </w:r>
      <w:r w:rsidR="00990E99">
        <w:rPr>
          <w:rFonts w:ascii="Times New Roman" w:hAnsi="Times New Roman" w:cs="Times New Roman"/>
          <w:sz w:val="24"/>
          <w:szCs w:val="24"/>
        </w:rPr>
        <w:t>;</w:t>
      </w:r>
      <w:r>
        <w:rPr>
          <w:rFonts w:ascii="Times New Roman" w:hAnsi="Times New Roman" w:cs="Times New Roman"/>
          <w:sz w:val="24"/>
          <w:szCs w:val="24"/>
        </w:rPr>
        <w:t xml:space="preserve"> neither did these standards set the parameters of what qualifies as commercial speech. Today, commercial speech, including </w:t>
      </w:r>
      <w:r w:rsidR="00990E99">
        <w:rPr>
          <w:rFonts w:ascii="Times New Roman" w:hAnsi="Times New Roman" w:cs="Times New Roman"/>
          <w:sz w:val="24"/>
          <w:szCs w:val="24"/>
        </w:rPr>
        <w:t xml:space="preserve">the </w:t>
      </w:r>
      <w:r>
        <w:rPr>
          <w:rFonts w:ascii="Times New Roman" w:hAnsi="Times New Roman" w:cs="Times New Roman"/>
          <w:sz w:val="24"/>
          <w:szCs w:val="24"/>
        </w:rPr>
        <w:t>advertisement</w:t>
      </w:r>
      <w:r w:rsidR="00990E99">
        <w:rPr>
          <w:rFonts w:ascii="Times New Roman" w:hAnsi="Times New Roman" w:cs="Times New Roman"/>
          <w:sz w:val="24"/>
          <w:szCs w:val="24"/>
        </w:rPr>
        <w:t>,</w:t>
      </w:r>
      <w:r>
        <w:rPr>
          <w:rFonts w:ascii="Times New Roman" w:hAnsi="Times New Roman" w:cs="Times New Roman"/>
          <w:sz w:val="24"/>
          <w:szCs w:val="24"/>
        </w:rPr>
        <w:t xml:space="preserve"> is </w:t>
      </w:r>
      <w:r w:rsidR="00E71B63">
        <w:rPr>
          <w:rFonts w:ascii="Times New Roman" w:hAnsi="Times New Roman" w:cs="Times New Roman"/>
          <w:sz w:val="24"/>
          <w:szCs w:val="24"/>
        </w:rPr>
        <w:t>defended by the freedom of speech</w:t>
      </w:r>
      <w:r w:rsidR="00990E99">
        <w:rPr>
          <w:rFonts w:ascii="Times New Roman" w:hAnsi="Times New Roman" w:cs="Times New Roman"/>
          <w:sz w:val="24"/>
          <w:szCs w:val="24"/>
        </w:rPr>
        <w:t>. H</w:t>
      </w:r>
      <w:r>
        <w:rPr>
          <w:rFonts w:ascii="Times New Roman" w:hAnsi="Times New Roman" w:cs="Times New Roman"/>
          <w:sz w:val="24"/>
          <w:szCs w:val="24"/>
        </w:rPr>
        <w:t xml:space="preserve">owever, the </w:t>
      </w:r>
      <w:r w:rsidR="00990E99">
        <w:rPr>
          <w:rFonts w:ascii="Times New Roman" w:hAnsi="Times New Roman" w:cs="Times New Roman"/>
          <w:sz w:val="24"/>
          <w:szCs w:val="24"/>
        </w:rPr>
        <w:t>L</w:t>
      </w:r>
      <w:r>
        <w:rPr>
          <w:rFonts w:ascii="Times New Roman" w:hAnsi="Times New Roman" w:cs="Times New Roman"/>
          <w:sz w:val="24"/>
          <w:szCs w:val="24"/>
        </w:rPr>
        <w:t>aw is not explicit a</w:t>
      </w:r>
      <w:r w:rsidR="00990E99">
        <w:rPr>
          <w:rFonts w:ascii="Times New Roman" w:hAnsi="Times New Roman" w:cs="Times New Roman"/>
          <w:sz w:val="24"/>
          <w:szCs w:val="24"/>
        </w:rPr>
        <w:t>bout</w:t>
      </w:r>
      <w:r>
        <w:rPr>
          <w:rFonts w:ascii="Times New Roman" w:hAnsi="Times New Roman" w:cs="Times New Roman"/>
          <w:sz w:val="24"/>
          <w:szCs w:val="24"/>
        </w:rPr>
        <w:t xml:space="preserve"> whether </w:t>
      </w:r>
      <w:r w:rsidR="00E71B63">
        <w:rPr>
          <w:rFonts w:ascii="Times New Roman" w:hAnsi="Times New Roman" w:cs="Times New Roman"/>
          <w:sz w:val="24"/>
          <w:szCs w:val="24"/>
        </w:rPr>
        <w:t>speech made for commerce</w:t>
      </w:r>
      <w:r>
        <w:rPr>
          <w:rFonts w:ascii="Times New Roman" w:hAnsi="Times New Roman" w:cs="Times New Roman"/>
          <w:sz w:val="24"/>
          <w:szCs w:val="24"/>
        </w:rPr>
        <w:t xml:space="preserve"> is protected to the same </w:t>
      </w:r>
      <w:r w:rsidR="00E71B63">
        <w:rPr>
          <w:rFonts w:ascii="Times New Roman" w:hAnsi="Times New Roman" w:cs="Times New Roman"/>
          <w:sz w:val="24"/>
          <w:szCs w:val="24"/>
        </w:rPr>
        <w:t>degree</w:t>
      </w:r>
      <w:r>
        <w:rPr>
          <w:rFonts w:ascii="Times New Roman" w:hAnsi="Times New Roman" w:cs="Times New Roman"/>
          <w:sz w:val="24"/>
          <w:szCs w:val="24"/>
        </w:rPr>
        <w:t xml:space="preserve"> as </w:t>
      </w:r>
      <w:r w:rsidR="00E71B63">
        <w:rPr>
          <w:rFonts w:ascii="Times New Roman" w:hAnsi="Times New Roman" w:cs="Times New Roman"/>
          <w:sz w:val="24"/>
          <w:szCs w:val="24"/>
        </w:rPr>
        <w:t>others forms of verbal expressions.</w:t>
      </w:r>
    </w:p>
    <w:p w14:paraId="67CDE5F4" w14:textId="4BA9ED30" w:rsidR="00BE1DDE" w:rsidRDefault="00BE1DDE" w:rsidP="00990E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Bigelow v Virginia case</w:t>
      </w:r>
      <w:r w:rsidR="00990E99">
        <w:rPr>
          <w:rFonts w:ascii="Times New Roman" w:hAnsi="Times New Roman" w:cs="Times New Roman"/>
          <w:sz w:val="24"/>
          <w:szCs w:val="24"/>
        </w:rPr>
        <w:t xml:space="preserve"> and other similar cases before suggest criteria</w:t>
      </w:r>
      <w:r>
        <w:rPr>
          <w:rFonts w:ascii="Times New Roman" w:hAnsi="Times New Roman" w:cs="Times New Roman"/>
          <w:sz w:val="24"/>
          <w:szCs w:val="24"/>
        </w:rPr>
        <w:t xml:space="preserve"> and standards that advertisers have to abide by if their advertisements stand a chance of protection under the first amendment. Notably, Cohen (1978) describes these two possible criteria. Firstly, assessing the freedom of speech for adverts requires an examination of the advertiser</w:t>
      </w:r>
      <w:r w:rsidR="00990E99">
        <w:rPr>
          <w:rFonts w:ascii="Times New Roman" w:hAnsi="Times New Roman" w:cs="Times New Roman"/>
          <w:sz w:val="24"/>
          <w:szCs w:val="24"/>
        </w:rPr>
        <w:t>'</w:t>
      </w:r>
      <w:r>
        <w:rPr>
          <w:rFonts w:ascii="Times New Roman" w:hAnsi="Times New Roman" w:cs="Times New Roman"/>
          <w:sz w:val="24"/>
          <w:szCs w:val="24"/>
        </w:rPr>
        <w:t xml:space="preserve">s motive, their information source, and the content of the advert. The other criteria </w:t>
      </w:r>
      <w:r w:rsidR="00990E99">
        <w:rPr>
          <w:rFonts w:ascii="Times New Roman" w:hAnsi="Times New Roman" w:cs="Times New Roman"/>
          <w:sz w:val="24"/>
          <w:szCs w:val="24"/>
        </w:rPr>
        <w:t>deal</w:t>
      </w:r>
      <w:r>
        <w:rPr>
          <w:rFonts w:ascii="Times New Roman" w:hAnsi="Times New Roman" w:cs="Times New Roman"/>
          <w:sz w:val="24"/>
          <w:szCs w:val="24"/>
        </w:rPr>
        <w:t xml:space="preserve"> with the interests of the intended groups and how they receive the message. </w:t>
      </w:r>
      <w:r w:rsidR="00990E99">
        <w:rPr>
          <w:rFonts w:ascii="Times New Roman" w:hAnsi="Times New Roman" w:cs="Times New Roman"/>
          <w:sz w:val="24"/>
          <w:szCs w:val="24"/>
        </w:rPr>
        <w:t>The motive test focuses on the advertiser's intention and not necessarily on the message contained in the advert. The test for the advertisement source deals with their values. Essentially, this protects the fundamental freedom of people to express themselves. Finally, the application of the first amendment also deals with the actual advertisement content.</w:t>
      </w:r>
    </w:p>
    <w:p w14:paraId="2DF45E3C" w14:textId="3B0E7E58" w:rsidR="00990E99" w:rsidRDefault="00990E99" w:rsidP="00990E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47F2E">
        <w:rPr>
          <w:rFonts w:ascii="Times New Roman" w:hAnsi="Times New Roman" w:cs="Times New Roman"/>
          <w:sz w:val="24"/>
          <w:szCs w:val="24"/>
        </w:rPr>
        <w:t>Supreme Court</w:t>
      </w:r>
      <w:r>
        <w:rPr>
          <w:rFonts w:ascii="Times New Roman" w:hAnsi="Times New Roman" w:cs="Times New Roman"/>
          <w:sz w:val="24"/>
          <w:szCs w:val="24"/>
        </w:rPr>
        <w:t xml:space="preserve"> decision in Bigelow v Virginia was just and well deserved. The judgment established that advertisement protection should be subjected to different criteria before being given a blanket ban from being protected by freedom of speech. However, despite the improvement in freedom of speech, much remains to be done. The Law is somewhat ambiguous of the definitions of commercial language, advertisement, and even marketing. </w:t>
      </w:r>
      <w:r>
        <w:rPr>
          <w:rFonts w:ascii="Times New Roman" w:hAnsi="Times New Roman" w:cs="Times New Roman"/>
          <w:sz w:val="24"/>
          <w:szCs w:val="24"/>
        </w:rPr>
        <w:lastRenderedPageBreak/>
        <w:t xml:space="preserve">Therefore, it is imperative that lawmakers and law experts critically examine the operationalization of advertisement laws and how they can be reworked to ensure the press and advertisers get to fully enjoy the benefits of living in a country that respects the Rule of Law and freedom of speech. </w:t>
      </w:r>
    </w:p>
    <w:p w14:paraId="3296BFB2" w14:textId="77777777" w:rsidR="00990E99" w:rsidRDefault="00990E99" w:rsidP="00D534E4">
      <w:pPr>
        <w:spacing w:line="480" w:lineRule="auto"/>
        <w:rPr>
          <w:rFonts w:ascii="Times New Roman" w:hAnsi="Times New Roman" w:cs="Times New Roman"/>
          <w:sz w:val="24"/>
          <w:szCs w:val="24"/>
        </w:rPr>
      </w:pPr>
    </w:p>
    <w:p w14:paraId="5B8DC239" w14:textId="77777777" w:rsidR="00990E99" w:rsidRDefault="00990E99" w:rsidP="00D534E4">
      <w:pPr>
        <w:spacing w:line="480" w:lineRule="auto"/>
        <w:rPr>
          <w:rFonts w:ascii="Times New Roman" w:hAnsi="Times New Roman" w:cs="Times New Roman"/>
          <w:sz w:val="24"/>
          <w:szCs w:val="24"/>
        </w:rPr>
      </w:pPr>
    </w:p>
    <w:p w14:paraId="68BC21B7" w14:textId="77777777" w:rsidR="00990E99" w:rsidRDefault="00990E99" w:rsidP="00D534E4">
      <w:pPr>
        <w:spacing w:line="480" w:lineRule="auto"/>
        <w:rPr>
          <w:rFonts w:ascii="Times New Roman" w:hAnsi="Times New Roman" w:cs="Times New Roman"/>
          <w:sz w:val="24"/>
          <w:szCs w:val="24"/>
        </w:rPr>
      </w:pPr>
    </w:p>
    <w:p w14:paraId="3813AEB2" w14:textId="77777777" w:rsidR="00990E99" w:rsidRDefault="00990E99" w:rsidP="00D534E4">
      <w:pPr>
        <w:spacing w:line="480" w:lineRule="auto"/>
        <w:rPr>
          <w:rFonts w:ascii="Times New Roman" w:hAnsi="Times New Roman" w:cs="Times New Roman"/>
          <w:sz w:val="24"/>
          <w:szCs w:val="24"/>
        </w:rPr>
      </w:pPr>
    </w:p>
    <w:p w14:paraId="358EC674" w14:textId="77777777" w:rsidR="00990E99" w:rsidRDefault="00990E99" w:rsidP="00D534E4">
      <w:pPr>
        <w:spacing w:line="480" w:lineRule="auto"/>
        <w:rPr>
          <w:rFonts w:ascii="Times New Roman" w:hAnsi="Times New Roman" w:cs="Times New Roman"/>
          <w:sz w:val="24"/>
          <w:szCs w:val="24"/>
        </w:rPr>
      </w:pPr>
    </w:p>
    <w:p w14:paraId="1E8572E5" w14:textId="77777777" w:rsidR="00990E99" w:rsidRDefault="00990E99" w:rsidP="00D534E4">
      <w:pPr>
        <w:spacing w:line="480" w:lineRule="auto"/>
        <w:rPr>
          <w:rFonts w:ascii="Times New Roman" w:hAnsi="Times New Roman" w:cs="Times New Roman"/>
          <w:sz w:val="24"/>
          <w:szCs w:val="24"/>
        </w:rPr>
      </w:pPr>
    </w:p>
    <w:p w14:paraId="042FF4D8" w14:textId="77777777" w:rsidR="00990E99" w:rsidRDefault="00990E99" w:rsidP="00D534E4">
      <w:pPr>
        <w:spacing w:line="480" w:lineRule="auto"/>
        <w:rPr>
          <w:rFonts w:ascii="Times New Roman" w:hAnsi="Times New Roman" w:cs="Times New Roman"/>
          <w:sz w:val="24"/>
          <w:szCs w:val="24"/>
        </w:rPr>
      </w:pPr>
    </w:p>
    <w:p w14:paraId="65F27853" w14:textId="77777777" w:rsidR="00990E99" w:rsidRDefault="00990E99" w:rsidP="00D534E4">
      <w:pPr>
        <w:spacing w:line="480" w:lineRule="auto"/>
        <w:rPr>
          <w:rFonts w:ascii="Times New Roman" w:hAnsi="Times New Roman" w:cs="Times New Roman"/>
          <w:sz w:val="24"/>
          <w:szCs w:val="24"/>
        </w:rPr>
      </w:pPr>
    </w:p>
    <w:p w14:paraId="4DEAF402" w14:textId="77777777" w:rsidR="00990E99" w:rsidRDefault="00990E99" w:rsidP="00D534E4">
      <w:pPr>
        <w:spacing w:line="480" w:lineRule="auto"/>
        <w:rPr>
          <w:rFonts w:ascii="Times New Roman" w:hAnsi="Times New Roman" w:cs="Times New Roman"/>
          <w:sz w:val="24"/>
          <w:szCs w:val="24"/>
        </w:rPr>
      </w:pPr>
    </w:p>
    <w:p w14:paraId="140818E2" w14:textId="77777777" w:rsidR="00990E99" w:rsidRDefault="00990E99" w:rsidP="00D534E4">
      <w:pPr>
        <w:spacing w:line="480" w:lineRule="auto"/>
        <w:rPr>
          <w:rFonts w:ascii="Times New Roman" w:hAnsi="Times New Roman" w:cs="Times New Roman"/>
          <w:sz w:val="24"/>
          <w:szCs w:val="24"/>
        </w:rPr>
      </w:pPr>
    </w:p>
    <w:p w14:paraId="018C7A18" w14:textId="77777777" w:rsidR="00990E99" w:rsidRDefault="00990E99" w:rsidP="00D534E4">
      <w:pPr>
        <w:spacing w:line="480" w:lineRule="auto"/>
        <w:rPr>
          <w:rFonts w:ascii="Times New Roman" w:hAnsi="Times New Roman" w:cs="Times New Roman"/>
          <w:sz w:val="24"/>
          <w:szCs w:val="24"/>
        </w:rPr>
      </w:pPr>
    </w:p>
    <w:p w14:paraId="50EA5BB6" w14:textId="77777777" w:rsidR="00990E99" w:rsidRDefault="00990E99" w:rsidP="00D534E4">
      <w:pPr>
        <w:spacing w:line="480" w:lineRule="auto"/>
        <w:rPr>
          <w:rFonts w:ascii="Times New Roman" w:hAnsi="Times New Roman" w:cs="Times New Roman"/>
          <w:sz w:val="24"/>
          <w:szCs w:val="24"/>
        </w:rPr>
      </w:pPr>
    </w:p>
    <w:p w14:paraId="62F1B9B7" w14:textId="77777777" w:rsidR="00990E99" w:rsidRDefault="00990E99" w:rsidP="00D534E4">
      <w:pPr>
        <w:spacing w:line="480" w:lineRule="auto"/>
        <w:rPr>
          <w:rFonts w:ascii="Times New Roman" w:hAnsi="Times New Roman" w:cs="Times New Roman"/>
          <w:sz w:val="24"/>
          <w:szCs w:val="24"/>
        </w:rPr>
      </w:pPr>
    </w:p>
    <w:p w14:paraId="206F3F9A" w14:textId="77777777" w:rsidR="00990E99" w:rsidRDefault="00990E99" w:rsidP="00D534E4">
      <w:pPr>
        <w:spacing w:line="480" w:lineRule="auto"/>
        <w:rPr>
          <w:rFonts w:ascii="Times New Roman" w:hAnsi="Times New Roman" w:cs="Times New Roman"/>
          <w:sz w:val="24"/>
          <w:szCs w:val="24"/>
        </w:rPr>
      </w:pPr>
    </w:p>
    <w:p w14:paraId="6CA3754F" w14:textId="77777777" w:rsidR="00990E99" w:rsidRDefault="00990E99" w:rsidP="00D534E4">
      <w:pPr>
        <w:spacing w:line="480" w:lineRule="auto"/>
        <w:rPr>
          <w:rFonts w:ascii="Times New Roman" w:hAnsi="Times New Roman" w:cs="Times New Roman"/>
          <w:sz w:val="24"/>
          <w:szCs w:val="24"/>
        </w:rPr>
      </w:pPr>
    </w:p>
    <w:p w14:paraId="3EF0C34B" w14:textId="5A9A4DB1" w:rsidR="00D534E4" w:rsidRPr="00990E99" w:rsidRDefault="00990E99" w:rsidP="00990E99">
      <w:pPr>
        <w:spacing w:line="480" w:lineRule="auto"/>
        <w:jc w:val="center"/>
        <w:rPr>
          <w:rFonts w:ascii="Times New Roman" w:hAnsi="Times New Roman" w:cs="Times New Roman"/>
          <w:b/>
          <w:bCs/>
          <w:sz w:val="24"/>
          <w:szCs w:val="24"/>
        </w:rPr>
      </w:pPr>
      <w:r w:rsidRPr="00990E99">
        <w:rPr>
          <w:rFonts w:ascii="Times New Roman" w:hAnsi="Times New Roman" w:cs="Times New Roman"/>
          <w:b/>
          <w:bCs/>
          <w:sz w:val="24"/>
          <w:szCs w:val="24"/>
        </w:rPr>
        <w:lastRenderedPageBreak/>
        <w:t>References</w:t>
      </w:r>
    </w:p>
    <w:p w14:paraId="0156218F" w14:textId="6B93A541" w:rsidR="00990E99" w:rsidRPr="00990E99" w:rsidRDefault="00990E99" w:rsidP="00990E99">
      <w:pPr>
        <w:spacing w:line="480" w:lineRule="auto"/>
        <w:ind w:left="720" w:hanging="720"/>
        <w:rPr>
          <w:rFonts w:ascii="Times New Roman" w:hAnsi="Times New Roman" w:cs="Times New Roman"/>
          <w:color w:val="222222"/>
          <w:sz w:val="24"/>
          <w:szCs w:val="24"/>
          <w:shd w:val="clear" w:color="auto" w:fill="FFFFFF"/>
        </w:rPr>
      </w:pPr>
      <w:r w:rsidRPr="00990E99">
        <w:rPr>
          <w:rFonts w:ascii="Times New Roman" w:hAnsi="Times New Roman" w:cs="Times New Roman"/>
          <w:color w:val="222222"/>
          <w:sz w:val="24"/>
          <w:szCs w:val="24"/>
          <w:shd w:val="clear" w:color="auto" w:fill="FFFFFF"/>
        </w:rPr>
        <w:t>Merrill, T. W. (1976). First Amendment Protection for Commercial Advertising: The New Constitutional Doctrine. </w:t>
      </w:r>
      <w:r w:rsidRPr="00990E99">
        <w:rPr>
          <w:rFonts w:ascii="Times New Roman" w:hAnsi="Times New Roman" w:cs="Times New Roman"/>
          <w:i/>
          <w:iCs/>
          <w:color w:val="222222"/>
          <w:sz w:val="24"/>
          <w:szCs w:val="24"/>
          <w:shd w:val="clear" w:color="auto" w:fill="FFFFFF"/>
        </w:rPr>
        <w:t>The University of Chicago Law Review</w:t>
      </w:r>
      <w:r w:rsidRPr="00990E99">
        <w:rPr>
          <w:rFonts w:ascii="Times New Roman" w:hAnsi="Times New Roman" w:cs="Times New Roman"/>
          <w:color w:val="222222"/>
          <w:sz w:val="24"/>
          <w:szCs w:val="24"/>
          <w:shd w:val="clear" w:color="auto" w:fill="FFFFFF"/>
        </w:rPr>
        <w:t>, </w:t>
      </w:r>
      <w:r w:rsidRPr="00990E99">
        <w:rPr>
          <w:rFonts w:ascii="Times New Roman" w:hAnsi="Times New Roman" w:cs="Times New Roman"/>
          <w:i/>
          <w:iCs/>
          <w:color w:val="222222"/>
          <w:sz w:val="24"/>
          <w:szCs w:val="24"/>
          <w:shd w:val="clear" w:color="auto" w:fill="FFFFFF"/>
        </w:rPr>
        <w:t>44</w:t>
      </w:r>
      <w:r w:rsidRPr="00990E99">
        <w:rPr>
          <w:rFonts w:ascii="Times New Roman" w:hAnsi="Times New Roman" w:cs="Times New Roman"/>
          <w:color w:val="222222"/>
          <w:sz w:val="24"/>
          <w:szCs w:val="24"/>
          <w:shd w:val="clear" w:color="auto" w:fill="FFFFFF"/>
        </w:rPr>
        <w:t>(1), 205-254.</w:t>
      </w:r>
    </w:p>
    <w:p w14:paraId="1A37A1EE" w14:textId="7F7281E3" w:rsidR="00990E99" w:rsidRPr="00990E99" w:rsidRDefault="00990E99" w:rsidP="00990E99">
      <w:pPr>
        <w:spacing w:line="480" w:lineRule="auto"/>
        <w:ind w:left="720" w:hanging="720"/>
        <w:rPr>
          <w:rFonts w:ascii="Times New Roman" w:hAnsi="Times New Roman" w:cs="Times New Roman"/>
          <w:color w:val="222222"/>
          <w:sz w:val="24"/>
          <w:szCs w:val="24"/>
          <w:shd w:val="clear" w:color="auto" w:fill="FFFFFF"/>
        </w:rPr>
      </w:pPr>
      <w:r w:rsidRPr="00990E99">
        <w:rPr>
          <w:rFonts w:ascii="Times New Roman" w:hAnsi="Times New Roman" w:cs="Times New Roman"/>
          <w:color w:val="222222"/>
          <w:sz w:val="24"/>
          <w:szCs w:val="24"/>
          <w:shd w:val="clear" w:color="auto" w:fill="FFFFFF"/>
        </w:rPr>
        <w:t xml:space="preserve">Cohen, D. (1978). Advertising &amp; the First Amendment: What are the facts and the implications of Supreme Court rulings that extend protection to 'freedom of </w:t>
      </w:r>
      <w:bookmarkStart w:id="0" w:name="_GoBack"/>
      <w:bookmarkEnd w:id="0"/>
      <w:r w:rsidR="00F47F2E">
        <w:rPr>
          <w:rFonts w:ascii="Times New Roman" w:hAnsi="Times New Roman" w:cs="Times New Roman"/>
          <w:color w:val="222222"/>
          <w:sz w:val="24"/>
          <w:szCs w:val="24"/>
          <w:shd w:val="clear" w:color="auto" w:fill="FFFFFF"/>
        </w:rPr>
        <w:t>speech</w:t>
      </w:r>
      <w:r w:rsidR="00F47F2E" w:rsidRPr="00990E99">
        <w:rPr>
          <w:rFonts w:ascii="Times New Roman" w:hAnsi="Times New Roman" w:cs="Times New Roman"/>
          <w:color w:val="222222"/>
          <w:sz w:val="24"/>
          <w:szCs w:val="24"/>
          <w:shd w:val="clear" w:color="auto" w:fill="FFFFFF"/>
        </w:rPr>
        <w:t>’ in</w:t>
      </w:r>
      <w:r w:rsidRPr="00990E99">
        <w:rPr>
          <w:rFonts w:ascii="Times New Roman" w:hAnsi="Times New Roman" w:cs="Times New Roman"/>
          <w:color w:val="222222"/>
          <w:sz w:val="24"/>
          <w:szCs w:val="24"/>
          <w:shd w:val="clear" w:color="auto" w:fill="FFFFFF"/>
        </w:rPr>
        <w:t xml:space="preserve"> advertising</w:t>
      </w:r>
      <w:r w:rsidR="00F47F2E" w:rsidRPr="00990E99">
        <w:rPr>
          <w:rFonts w:ascii="Times New Roman" w:hAnsi="Times New Roman" w:cs="Times New Roman"/>
          <w:color w:val="222222"/>
          <w:sz w:val="24"/>
          <w:szCs w:val="24"/>
          <w:shd w:val="clear" w:color="auto" w:fill="FFFFFF"/>
        </w:rPr>
        <w:t>?</w:t>
      </w:r>
      <w:r w:rsidRPr="00990E99">
        <w:rPr>
          <w:rFonts w:ascii="Times New Roman" w:hAnsi="Times New Roman" w:cs="Times New Roman"/>
          <w:color w:val="222222"/>
          <w:sz w:val="24"/>
          <w:szCs w:val="24"/>
          <w:shd w:val="clear" w:color="auto" w:fill="FFFFFF"/>
        </w:rPr>
        <w:t> </w:t>
      </w:r>
      <w:r w:rsidRPr="00990E99">
        <w:rPr>
          <w:rFonts w:ascii="Times New Roman" w:hAnsi="Times New Roman" w:cs="Times New Roman"/>
          <w:i/>
          <w:iCs/>
          <w:color w:val="222222"/>
          <w:sz w:val="24"/>
          <w:szCs w:val="24"/>
          <w:shd w:val="clear" w:color="auto" w:fill="FFFFFF"/>
        </w:rPr>
        <w:t>Journal of Marketing</w:t>
      </w:r>
      <w:r w:rsidRPr="00990E99">
        <w:rPr>
          <w:rFonts w:ascii="Times New Roman" w:hAnsi="Times New Roman" w:cs="Times New Roman"/>
          <w:color w:val="222222"/>
          <w:sz w:val="24"/>
          <w:szCs w:val="24"/>
          <w:shd w:val="clear" w:color="auto" w:fill="FFFFFF"/>
        </w:rPr>
        <w:t>, </w:t>
      </w:r>
      <w:r w:rsidRPr="00990E99">
        <w:rPr>
          <w:rFonts w:ascii="Times New Roman" w:hAnsi="Times New Roman" w:cs="Times New Roman"/>
          <w:i/>
          <w:iCs/>
          <w:color w:val="222222"/>
          <w:sz w:val="24"/>
          <w:szCs w:val="24"/>
          <w:shd w:val="clear" w:color="auto" w:fill="FFFFFF"/>
        </w:rPr>
        <w:t>42</w:t>
      </w:r>
      <w:r w:rsidRPr="00990E99">
        <w:rPr>
          <w:rFonts w:ascii="Times New Roman" w:hAnsi="Times New Roman" w:cs="Times New Roman"/>
          <w:color w:val="222222"/>
          <w:sz w:val="24"/>
          <w:szCs w:val="24"/>
          <w:shd w:val="clear" w:color="auto" w:fill="FFFFFF"/>
        </w:rPr>
        <w:t>(3), 59-68.</w:t>
      </w:r>
    </w:p>
    <w:p w14:paraId="038C6709" w14:textId="13C9A54A" w:rsidR="00990E99" w:rsidRPr="00990E99" w:rsidRDefault="00990E99" w:rsidP="00990E99">
      <w:pPr>
        <w:spacing w:line="480" w:lineRule="auto"/>
        <w:ind w:left="720" w:hanging="720"/>
        <w:rPr>
          <w:rFonts w:ascii="Times New Roman" w:hAnsi="Times New Roman" w:cs="Times New Roman"/>
          <w:sz w:val="24"/>
          <w:szCs w:val="24"/>
        </w:rPr>
      </w:pPr>
      <w:r w:rsidRPr="00990E99">
        <w:rPr>
          <w:rFonts w:ascii="Times New Roman" w:hAnsi="Times New Roman" w:cs="Times New Roman"/>
          <w:color w:val="000000"/>
          <w:sz w:val="24"/>
          <w:szCs w:val="24"/>
          <w:shd w:val="clear" w:color="auto" w:fill="FFFFFF"/>
        </w:rPr>
        <w:t>Lawpublish. (2015). </w:t>
      </w:r>
      <w:r w:rsidRPr="00990E99">
        <w:rPr>
          <w:rStyle w:val="Emphasis"/>
          <w:rFonts w:ascii="Times New Roman" w:hAnsi="Times New Roman" w:cs="Times New Roman"/>
          <w:color w:val="000000"/>
          <w:sz w:val="24"/>
          <w:szCs w:val="24"/>
          <w:shd w:val="clear" w:color="auto" w:fill="FFFFFF"/>
        </w:rPr>
        <w:t>Advertising and the First Amendment</w:t>
      </w:r>
      <w:r w:rsidRPr="00990E99">
        <w:rPr>
          <w:rFonts w:ascii="Times New Roman" w:hAnsi="Times New Roman" w:cs="Times New Roman"/>
          <w:color w:val="000000"/>
          <w:sz w:val="24"/>
          <w:szCs w:val="24"/>
          <w:shd w:val="clear" w:color="auto" w:fill="FFFFFF"/>
        </w:rPr>
        <w:t>. Advertising Law Resources: Advertisers, Attorneys, Consumers. </w:t>
      </w:r>
      <w:hyperlink r:id="rId6" w:history="1">
        <w:r w:rsidRPr="00990E99">
          <w:rPr>
            <w:rStyle w:val="Hyperlink"/>
            <w:rFonts w:ascii="Times New Roman" w:hAnsi="Times New Roman" w:cs="Times New Roman"/>
            <w:color w:val="000000"/>
            <w:sz w:val="24"/>
            <w:szCs w:val="24"/>
            <w:shd w:val="clear" w:color="auto" w:fill="FFFFFF"/>
          </w:rPr>
          <w:t>https://www.lawpublish.com/amend1.html</w:t>
        </w:r>
      </w:hyperlink>
      <w:r w:rsidRPr="00990E99">
        <w:rPr>
          <w:rFonts w:ascii="Times New Roman" w:hAnsi="Times New Roman" w:cs="Times New Roman"/>
          <w:sz w:val="24"/>
          <w:szCs w:val="24"/>
        </w:rPr>
        <w:t xml:space="preserve"> </w:t>
      </w:r>
    </w:p>
    <w:sectPr w:rsidR="00990E99" w:rsidRPr="00990E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C17C2" w14:textId="77777777" w:rsidR="00902AF0" w:rsidRDefault="00902AF0" w:rsidP="00990E99">
      <w:pPr>
        <w:spacing w:after="0" w:line="240" w:lineRule="auto"/>
      </w:pPr>
      <w:r>
        <w:separator/>
      </w:r>
    </w:p>
  </w:endnote>
  <w:endnote w:type="continuationSeparator" w:id="0">
    <w:p w14:paraId="160C1616" w14:textId="77777777" w:rsidR="00902AF0" w:rsidRDefault="00902AF0" w:rsidP="00990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ADB48" w14:textId="77777777" w:rsidR="00902AF0" w:rsidRDefault="00902AF0" w:rsidP="00990E99">
      <w:pPr>
        <w:spacing w:after="0" w:line="240" w:lineRule="auto"/>
      </w:pPr>
      <w:r>
        <w:separator/>
      </w:r>
    </w:p>
  </w:footnote>
  <w:footnote w:type="continuationSeparator" w:id="0">
    <w:p w14:paraId="0F87B2E5" w14:textId="77777777" w:rsidR="00902AF0" w:rsidRDefault="00902AF0" w:rsidP="00990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8315241"/>
      <w:docPartObj>
        <w:docPartGallery w:val="Page Numbers (Top of Page)"/>
        <w:docPartUnique/>
      </w:docPartObj>
    </w:sdtPr>
    <w:sdtEndPr>
      <w:rPr>
        <w:noProof/>
      </w:rPr>
    </w:sdtEndPr>
    <w:sdtContent>
      <w:p w14:paraId="61D8D704" w14:textId="7DFA685C" w:rsidR="00990E99" w:rsidRPr="00990E99" w:rsidRDefault="00990E99">
        <w:pPr>
          <w:pStyle w:val="Header"/>
          <w:jc w:val="right"/>
          <w:rPr>
            <w:rFonts w:ascii="Times New Roman" w:hAnsi="Times New Roman" w:cs="Times New Roman"/>
            <w:sz w:val="24"/>
            <w:szCs w:val="24"/>
          </w:rPr>
        </w:pPr>
        <w:r w:rsidRPr="00990E99">
          <w:rPr>
            <w:rFonts w:ascii="Times New Roman" w:hAnsi="Times New Roman" w:cs="Times New Roman"/>
            <w:sz w:val="24"/>
            <w:szCs w:val="24"/>
          </w:rPr>
          <w:fldChar w:fldCharType="begin"/>
        </w:r>
        <w:r w:rsidRPr="00990E99">
          <w:rPr>
            <w:rFonts w:ascii="Times New Roman" w:hAnsi="Times New Roman" w:cs="Times New Roman"/>
            <w:sz w:val="24"/>
            <w:szCs w:val="24"/>
          </w:rPr>
          <w:instrText xml:space="preserve"> PAGE   \* MERGEFORMAT </w:instrText>
        </w:r>
        <w:r w:rsidRPr="00990E99">
          <w:rPr>
            <w:rFonts w:ascii="Times New Roman" w:hAnsi="Times New Roman" w:cs="Times New Roman"/>
            <w:sz w:val="24"/>
            <w:szCs w:val="24"/>
          </w:rPr>
          <w:fldChar w:fldCharType="separate"/>
        </w:r>
        <w:r w:rsidR="00F47F2E">
          <w:rPr>
            <w:rFonts w:ascii="Times New Roman" w:hAnsi="Times New Roman" w:cs="Times New Roman"/>
            <w:noProof/>
            <w:sz w:val="24"/>
            <w:szCs w:val="24"/>
          </w:rPr>
          <w:t>2</w:t>
        </w:r>
        <w:r w:rsidRPr="00990E99">
          <w:rPr>
            <w:rFonts w:ascii="Times New Roman" w:hAnsi="Times New Roman" w:cs="Times New Roman"/>
            <w:noProof/>
            <w:sz w:val="24"/>
            <w:szCs w:val="24"/>
          </w:rPr>
          <w:fldChar w:fldCharType="end"/>
        </w:r>
      </w:p>
    </w:sdtContent>
  </w:sdt>
  <w:p w14:paraId="3F23F222" w14:textId="77777777" w:rsidR="00990E99" w:rsidRPr="00990E99" w:rsidRDefault="00990E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ztzA3sbQ0MzUzNzFU0lEKTi0uzszPAykwqgUAAw0Y8SwAAAA="/>
  </w:docVars>
  <w:rsids>
    <w:rsidRoot w:val="00292A8B"/>
    <w:rsid w:val="00147AEE"/>
    <w:rsid w:val="00292A8B"/>
    <w:rsid w:val="00902AF0"/>
    <w:rsid w:val="00990E99"/>
    <w:rsid w:val="00B5771B"/>
    <w:rsid w:val="00BE1DDE"/>
    <w:rsid w:val="00D534E4"/>
    <w:rsid w:val="00E71B63"/>
    <w:rsid w:val="00F4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80E0C"/>
  <w15:chartTrackingRefBased/>
  <w15:docId w15:val="{E3CEF508-0E11-44AE-B430-C7E138D8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90E99"/>
    <w:rPr>
      <w:i/>
      <w:iCs/>
    </w:rPr>
  </w:style>
  <w:style w:type="character" w:styleId="Hyperlink">
    <w:name w:val="Hyperlink"/>
    <w:basedOn w:val="DefaultParagraphFont"/>
    <w:uiPriority w:val="99"/>
    <w:semiHidden/>
    <w:unhideWhenUsed/>
    <w:rsid w:val="00990E99"/>
    <w:rPr>
      <w:color w:val="0000FF"/>
      <w:u w:val="single"/>
    </w:rPr>
  </w:style>
  <w:style w:type="paragraph" w:styleId="Header">
    <w:name w:val="header"/>
    <w:basedOn w:val="Normal"/>
    <w:link w:val="HeaderChar"/>
    <w:uiPriority w:val="99"/>
    <w:unhideWhenUsed/>
    <w:rsid w:val="00990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E99"/>
  </w:style>
  <w:style w:type="paragraph" w:styleId="Footer">
    <w:name w:val="footer"/>
    <w:basedOn w:val="Normal"/>
    <w:link w:val="FooterChar"/>
    <w:uiPriority w:val="99"/>
    <w:unhideWhenUsed/>
    <w:rsid w:val="00990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publish.com/amend1.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2021-10-14T14:05:00Z</dcterms:created>
  <dcterms:modified xsi:type="dcterms:W3CDTF">2021-10-14T14:05:00Z</dcterms:modified>
</cp:coreProperties>
</file>