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D74" w:rsidRDefault="00765D74" w:rsidP="00DF333B">
      <w:bookmarkStart w:id="0" w:name="_GoBack"/>
      <w:bookmarkEnd w:id="0"/>
    </w:p>
    <w:p w:rsidR="00765D74" w:rsidRDefault="00765D74" w:rsidP="00DF333B"/>
    <w:p w:rsidR="00765D74" w:rsidRDefault="00765D74" w:rsidP="00DF333B"/>
    <w:p w:rsidR="00765D74" w:rsidRDefault="00765D74" w:rsidP="00DF333B"/>
    <w:p w:rsidR="00765D74" w:rsidRDefault="00765D74" w:rsidP="00DF333B"/>
    <w:p w:rsidR="00765D74" w:rsidRDefault="00765D74" w:rsidP="00DF333B"/>
    <w:p w:rsidR="00765D74" w:rsidRDefault="00765D74" w:rsidP="00DF333B"/>
    <w:p w:rsidR="00765D74" w:rsidRDefault="00765D74" w:rsidP="00765D74">
      <w:pPr>
        <w:jc w:val="center"/>
      </w:pPr>
      <w:r>
        <w:t>Answers to Question 1-3</w:t>
      </w:r>
    </w:p>
    <w:p w:rsidR="00765D74" w:rsidRDefault="00765D74" w:rsidP="00765D74">
      <w:pPr>
        <w:jc w:val="center"/>
      </w:pPr>
      <w:r>
        <w:t>Name of Student</w:t>
      </w:r>
    </w:p>
    <w:p w:rsidR="00765D74" w:rsidRDefault="00765D74" w:rsidP="00765D74">
      <w:pPr>
        <w:jc w:val="center"/>
      </w:pPr>
      <w:r>
        <w:t>Institutional Affiliation</w:t>
      </w:r>
    </w:p>
    <w:p w:rsidR="00765D74" w:rsidRDefault="00765D74">
      <w:r>
        <w:br w:type="page"/>
      </w:r>
    </w:p>
    <w:p w:rsidR="00DF333B" w:rsidRDefault="00DF333B" w:rsidP="00DF333B">
      <w:r>
        <w:lastRenderedPageBreak/>
        <w:t>Question 1:</w:t>
      </w:r>
    </w:p>
    <w:p w:rsidR="00352DCE" w:rsidRDefault="0002103F" w:rsidP="00DF333B">
      <w:r>
        <w:t xml:space="preserve">Stone quarries are governed by the Mine and Safety Health Act. </w:t>
      </w:r>
      <w:r w:rsidR="00E148DF">
        <w:t>As such, the Mine Safety and Health Act is within</w:t>
      </w:r>
      <w:r w:rsidR="00887FCD">
        <w:t xml:space="preserve"> its constitutional practices to</w:t>
      </w:r>
      <w:r w:rsidR="00E148DF">
        <w:t xml:space="preserve"> carry out warrantless </w:t>
      </w:r>
      <w:r w:rsidR="00982340">
        <w:t>searches on these quarries</w:t>
      </w:r>
      <w:r w:rsidR="00765D74">
        <w:t xml:space="preserve"> </w:t>
      </w:r>
      <w:sdt>
        <w:sdtPr>
          <w:id w:val="-570968077"/>
          <w:citation/>
        </w:sdtPr>
        <w:sdtEndPr/>
        <w:sdtContent>
          <w:r w:rsidR="00765D74">
            <w:fldChar w:fldCharType="begin"/>
          </w:r>
          <w:r w:rsidR="00765D74">
            <w:instrText xml:space="preserve"> CITATION Cou \l 1033 </w:instrText>
          </w:r>
          <w:r w:rsidR="00765D74">
            <w:fldChar w:fldCharType="separate"/>
          </w:r>
          <w:r w:rsidR="00765D74">
            <w:rPr>
              <w:noProof/>
            </w:rPr>
            <w:t>(Courtlistener, n.d.)</w:t>
          </w:r>
          <w:r w:rsidR="00765D74">
            <w:fldChar w:fldCharType="end"/>
          </w:r>
        </w:sdtContent>
      </w:sdt>
      <w:r w:rsidR="00982340">
        <w:t xml:space="preserve">. </w:t>
      </w:r>
      <w:r>
        <w:t xml:space="preserve">The searches are legally allowed since the quarries are stated to be commercial properties. </w:t>
      </w:r>
      <w:r w:rsidR="00982340">
        <w:t xml:space="preserve">The Mine and Health Safety Act </w:t>
      </w:r>
      <w:r>
        <w:t xml:space="preserve">practices its rule of law through the </w:t>
      </w:r>
      <w:r w:rsidR="00982340">
        <w:t xml:space="preserve">Secretary of Labor </w:t>
      </w:r>
      <w:r>
        <w:t xml:space="preserve">who is mandated to </w:t>
      </w:r>
      <w:r w:rsidR="00887FCD">
        <w:t>carry out</w:t>
      </w:r>
      <w:r w:rsidR="00982340">
        <w:t xml:space="preserve"> health and safety standard inspections on the Nation’s mines. </w:t>
      </w:r>
      <w:r>
        <w:t xml:space="preserve">The inspection is done procedurally and strictly following all the regulations. Each </w:t>
      </w:r>
      <w:r w:rsidR="00887FCD">
        <w:t xml:space="preserve">surface </w:t>
      </w:r>
      <w:r>
        <w:t xml:space="preserve">mine is subjected to undergo </w:t>
      </w:r>
      <w:r w:rsidR="00887FCD">
        <w:t xml:space="preserve">two inspections annually while underground mines are inspected four times within the same period. According to the constitution, the mine inspectors are allowed to conduct inspections </w:t>
      </w:r>
      <w:r w:rsidR="00982340">
        <w:t xml:space="preserve">without giving prior notice of their intentions. </w:t>
      </w:r>
      <w:r w:rsidR="009F2D28">
        <w:t>The Congress also play</w:t>
      </w:r>
      <w:r w:rsidR="00403347">
        <w:t>s</w:t>
      </w:r>
      <w:r w:rsidR="009F2D28">
        <w:t xml:space="preserve"> a role in determining whether a warrantless inspection is meaningful. The Congress may determine a warrant is not required if there are reasons that grant the state permission to access the commercial properties. In this case, the owners of the properties should be aware that their commercial enterprises would be subjected to periodic inspections that are undertaken for certain purposes. Likewise, the Congress may prohibit an inspection to be carried out on certain commercial properties if the interests of the state are at stake. It is agreeable that some commercial properties hold more value to the state than others. Therefore, these properties are seen to be taken care of by the Congress who protect the interests of the specific properties so long as they are in line with adding benefit to the federal government. </w:t>
      </w:r>
    </w:p>
    <w:p w:rsidR="00887FCD" w:rsidRDefault="00DF333B" w:rsidP="00DF333B">
      <w:r>
        <w:t>Question 2:</w:t>
      </w:r>
    </w:p>
    <w:p w:rsidR="00DF333B" w:rsidRDefault="00DF333B" w:rsidP="000A56D8">
      <w:r>
        <w:t>The public is better served by the Consumer Product Safety Commission</w:t>
      </w:r>
      <w:r w:rsidR="00CA2E75">
        <w:t>, CPSC,</w:t>
      </w:r>
      <w:r>
        <w:t xml:space="preserve"> compared to the existence of a free market.</w:t>
      </w:r>
      <w:r w:rsidR="00CA2E75">
        <w:t xml:space="preserve"> The CPSC</w:t>
      </w:r>
      <w:r w:rsidR="000A56D8">
        <w:t xml:space="preserve"> formulates and enforces</w:t>
      </w:r>
      <w:r w:rsidR="00CA2E75">
        <w:t xml:space="preserve"> the legislation against product safety either after a consumer complains, or through the directive of the Congress</w:t>
      </w:r>
      <w:r w:rsidR="00442ADD">
        <w:t xml:space="preserve"> </w:t>
      </w:r>
      <w:sdt>
        <w:sdtPr>
          <w:id w:val="1425845886"/>
          <w:citation/>
        </w:sdtPr>
        <w:sdtEndPr/>
        <w:sdtContent>
          <w:r w:rsidR="00442ADD">
            <w:fldChar w:fldCharType="begin"/>
          </w:r>
          <w:r w:rsidR="00442ADD">
            <w:instrText xml:space="preserve"> CITATION CPS \l 1033 </w:instrText>
          </w:r>
          <w:r w:rsidR="00442ADD">
            <w:fldChar w:fldCharType="separate"/>
          </w:r>
          <w:r w:rsidR="00442ADD">
            <w:rPr>
              <w:noProof/>
            </w:rPr>
            <w:t>(CPSC, n.d.)</w:t>
          </w:r>
          <w:r w:rsidR="00442ADD">
            <w:fldChar w:fldCharType="end"/>
          </w:r>
        </w:sdtContent>
      </w:sdt>
      <w:r w:rsidR="00CA2E75">
        <w:t xml:space="preserve">. The legislation warrants product ban if the health and safety standards are not met. The CPSC also works in collecting information about unsafe products through the monitoring of a consumer hotline. </w:t>
      </w:r>
      <w:r w:rsidR="000A56D8">
        <w:t xml:space="preserve">Calls pertaining the use of a certain product are recorded and analyzed before the product is tested to meet the standard requirements. </w:t>
      </w:r>
      <w:r w:rsidR="00CA2E75">
        <w:t xml:space="preserve">A website, SafeProducts.gov, is also set up to collect complaints from the consumers. </w:t>
      </w:r>
      <w:r w:rsidR="000A56D8">
        <w:t xml:space="preserve">The CPSC, through the National Electronic Injury Surveillance Systems, monitors all the cases that are reported in the emergency room of all hospitals. Cases that are related to the use of a certain product are recorded and investigated before further action is implemented. </w:t>
      </w:r>
      <w:r w:rsidR="00442ADD">
        <w:t>The CPSC also</w:t>
      </w:r>
      <w:r w:rsidR="00CA2E75">
        <w:t xml:space="preserve"> creates awareness against products that are deemed to be harmful for human consumption. </w:t>
      </w:r>
      <w:r w:rsidR="00442ADD">
        <w:t>The awareness may include the report of counterfeit products or distribution of harmful products to the consumer. The Congress can also direct the CPSC to investigate a certain product in circulation and carry out the legal ramification</w:t>
      </w:r>
      <w:r w:rsidR="00403347">
        <w:t>s</w:t>
      </w:r>
      <w:r w:rsidR="00442ADD">
        <w:t xml:space="preserve"> if there is any breaking of the law against such products. Other than that, the CPSC can also make ruling on consumer product</w:t>
      </w:r>
      <w:r w:rsidR="00403347">
        <w:t>s</w:t>
      </w:r>
      <w:r w:rsidR="00442ADD">
        <w:t xml:space="preserve"> that are said to be harmful for human consumption yet no complaint has been picked by the voluntary consensus standard. Finally, the CPSC </w:t>
      </w:r>
      <w:r w:rsidR="00CA2E75">
        <w:t>enforces penalties on the parties found to be providing substandard</w:t>
      </w:r>
      <w:r w:rsidR="00442ADD">
        <w:t xml:space="preserve"> or harmful services and</w:t>
      </w:r>
      <w:r w:rsidR="00CA2E75">
        <w:t xml:space="preserve"> products to the consumers.</w:t>
      </w:r>
    </w:p>
    <w:p w:rsidR="00CA2E75" w:rsidRDefault="00CA2E75" w:rsidP="00DF333B">
      <w:r>
        <w:t>Question 3:</w:t>
      </w:r>
    </w:p>
    <w:p w:rsidR="00765D74" w:rsidRDefault="00C31A1E" w:rsidP="00DF333B">
      <w:r>
        <w:t>Every decision-making or management action needs to be controlled by principles of management</w:t>
      </w:r>
      <w:r w:rsidR="000A56D8">
        <w:t xml:space="preserve"> </w:t>
      </w:r>
      <w:sdt>
        <w:sdtPr>
          <w:id w:val="-447388204"/>
          <w:citation/>
        </w:sdtPr>
        <w:sdtEndPr/>
        <w:sdtContent>
          <w:r w:rsidR="000A56D8">
            <w:fldChar w:fldCharType="begin"/>
          </w:r>
          <w:r w:rsidR="000A56D8">
            <w:instrText xml:space="preserve"> CITATION Too18 \l 1033 </w:instrText>
          </w:r>
          <w:r w:rsidR="000A56D8">
            <w:fldChar w:fldCharType="separate"/>
          </w:r>
          <w:r w:rsidR="000A56D8">
            <w:rPr>
              <w:noProof/>
            </w:rPr>
            <w:t>(Toolshero, 2018)</w:t>
          </w:r>
          <w:r w:rsidR="000A56D8">
            <w:fldChar w:fldCharType="end"/>
          </w:r>
        </w:sdtContent>
      </w:sdt>
      <w:r>
        <w:t xml:space="preserve">. The principles are formulated after doing an observation and analysis of the encounters of a manager. In management, division of work is encouraged as it promotes cohesion while reducing the amount of workload stipulated on a person’s schedule. Responsibility and accountability are also common values that help in getting things done as required. Discipline to the duty and the authority is key to ensure good conduct and respectful interactions among the workers. </w:t>
      </w:r>
      <w:r w:rsidR="00360110">
        <w:t xml:space="preserve">Unity of command ensures that employees receive orders from one manager and report to the same manager when they finish a task. Unity of direction is also encouraged to fulfill the objectives of the company’s mission. Individual interest should also not be allowed to interfere with the management decisions of a company. Motivation of employees is encouraged as it boosts their morale. The management and the authority for decision-making ought to be centralized on increasing productivity of the employees while exposing them to less strain. Other important principles that are used to make management decisions include equity, order and stability of tenure of employees. These principles are meant to improve the relationship between the employees and their employers in a bid to increase productivity. </w:t>
      </w:r>
    </w:p>
    <w:p w:rsidR="00765D74" w:rsidRDefault="00765D74">
      <w:r>
        <w:br w:type="page"/>
      </w:r>
    </w:p>
    <w:sdt>
      <w:sdtPr>
        <w:id w:val="-630625592"/>
        <w:docPartObj>
          <w:docPartGallery w:val="Bibliographies"/>
          <w:docPartUnique/>
        </w:docPartObj>
      </w:sdtPr>
      <w:sdtEndPr/>
      <w:sdtContent>
        <w:p w:rsidR="00765D74" w:rsidRDefault="00765D74" w:rsidP="00765D74">
          <w:pPr>
            <w:jc w:val="center"/>
          </w:pPr>
          <w:r>
            <w:t>References</w:t>
          </w:r>
        </w:p>
        <w:sdt>
          <w:sdtPr>
            <w:id w:val="-573587230"/>
            <w:bibliography/>
          </w:sdtPr>
          <w:sdtEndPr/>
          <w:sdtContent>
            <w:p w:rsidR="00765D74" w:rsidRDefault="00765D74" w:rsidP="00765D74">
              <w:pPr>
                <w:pStyle w:val="Bibliography"/>
                <w:ind w:left="720" w:hanging="720"/>
                <w:rPr>
                  <w:noProof/>
                  <w:szCs w:val="24"/>
                </w:rPr>
              </w:pPr>
              <w:r>
                <w:fldChar w:fldCharType="begin"/>
              </w:r>
              <w:r>
                <w:instrText xml:space="preserve"> BIBLIOGRAPHY </w:instrText>
              </w:r>
              <w:r>
                <w:fldChar w:fldCharType="separate"/>
              </w:r>
              <w:r>
                <w:rPr>
                  <w:noProof/>
                </w:rPr>
                <w:t xml:space="preserve">Courtlistener. (n.d.). </w:t>
              </w:r>
              <w:r>
                <w:rPr>
                  <w:i/>
                  <w:iCs/>
                  <w:noProof/>
                </w:rPr>
                <w:t>Donovan v.Dewey, 452 US 594</w:t>
              </w:r>
              <w:r>
                <w:rPr>
                  <w:noProof/>
                </w:rPr>
                <w:t>. Retrieved from https://www.courtlistener.com/opinion/110530/donovan-v-dewey/</w:t>
              </w:r>
            </w:p>
            <w:p w:rsidR="00765D74" w:rsidRDefault="00765D74" w:rsidP="00765D74">
              <w:pPr>
                <w:pStyle w:val="Bibliography"/>
                <w:ind w:left="720" w:hanging="720"/>
                <w:rPr>
                  <w:noProof/>
                </w:rPr>
              </w:pPr>
              <w:r>
                <w:rPr>
                  <w:noProof/>
                </w:rPr>
                <w:t xml:space="preserve">CPSC. (n.d.). </w:t>
              </w:r>
              <w:r>
                <w:rPr>
                  <w:i/>
                  <w:iCs/>
                  <w:noProof/>
                </w:rPr>
                <w:t>United States Consumer Product Safety Commission</w:t>
              </w:r>
              <w:r>
                <w:rPr>
                  <w:noProof/>
                </w:rPr>
                <w:t>. Retrieved from https://www.cpsc.gov</w:t>
              </w:r>
            </w:p>
            <w:p w:rsidR="00765D74" w:rsidRDefault="00765D74" w:rsidP="00765D74">
              <w:pPr>
                <w:pStyle w:val="Bibliography"/>
                <w:ind w:left="720" w:hanging="720"/>
                <w:rPr>
                  <w:noProof/>
                </w:rPr>
              </w:pPr>
              <w:r>
                <w:rPr>
                  <w:noProof/>
                </w:rPr>
                <w:t xml:space="preserve">Toolshero. (2018). </w:t>
              </w:r>
              <w:r>
                <w:rPr>
                  <w:i/>
                  <w:iCs/>
                  <w:noProof/>
                </w:rPr>
                <w:t>14 Principles of Management (Fayol)</w:t>
              </w:r>
              <w:r>
                <w:rPr>
                  <w:noProof/>
                </w:rPr>
                <w:t>. Retrieved from https://www.toolshero.com/management/14-principles-of-management/</w:t>
              </w:r>
            </w:p>
            <w:p w:rsidR="00765D74" w:rsidRDefault="00765D74" w:rsidP="00765D74">
              <w:r>
                <w:rPr>
                  <w:b/>
                  <w:bCs/>
                  <w:noProof/>
                </w:rPr>
                <w:fldChar w:fldCharType="end"/>
              </w:r>
            </w:p>
          </w:sdtContent>
        </w:sdt>
      </w:sdtContent>
    </w:sdt>
    <w:p w:rsidR="00C31A1E" w:rsidRDefault="00C31A1E" w:rsidP="00DF333B"/>
    <w:p w:rsidR="00CA2E75" w:rsidRPr="00982340" w:rsidRDefault="00CA2E75" w:rsidP="00DF333B"/>
    <w:sectPr w:rsidR="00CA2E75" w:rsidRPr="00982340" w:rsidSect="00765D74">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5FA" w:rsidRDefault="00D865FA" w:rsidP="00765D74">
      <w:pPr>
        <w:spacing w:after="0" w:line="240" w:lineRule="auto"/>
      </w:pPr>
      <w:r>
        <w:separator/>
      </w:r>
    </w:p>
  </w:endnote>
  <w:endnote w:type="continuationSeparator" w:id="0">
    <w:p w:rsidR="00D865FA" w:rsidRDefault="00D865FA" w:rsidP="00765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5FA" w:rsidRDefault="00D865FA" w:rsidP="00765D74">
      <w:pPr>
        <w:spacing w:after="0" w:line="240" w:lineRule="auto"/>
      </w:pPr>
      <w:r>
        <w:separator/>
      </w:r>
    </w:p>
  </w:footnote>
  <w:footnote w:type="continuationSeparator" w:id="0">
    <w:p w:rsidR="00D865FA" w:rsidRDefault="00D865FA" w:rsidP="00765D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D74" w:rsidRDefault="00765D74" w:rsidP="00765D74">
    <w:pPr>
      <w:pStyle w:val="Header"/>
    </w:pPr>
    <w:r>
      <w:t>ANSWERS TO QUESTIONS 1-3</w:t>
    </w:r>
    <w:r>
      <w:tab/>
    </w:r>
    <w:r>
      <w:tab/>
    </w:r>
    <w:sdt>
      <w:sdtPr>
        <w:id w:val="3023555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387F">
          <w:rPr>
            <w:noProof/>
          </w:rPr>
          <w:t>4</w:t>
        </w:r>
        <w:r>
          <w:rPr>
            <w:noProof/>
          </w:rPr>
          <w:fldChar w:fldCharType="end"/>
        </w:r>
      </w:sdtContent>
    </w:sdt>
  </w:p>
  <w:p w:rsidR="00765D74" w:rsidRDefault="00765D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D74" w:rsidRDefault="00765D74">
    <w:pPr>
      <w:pStyle w:val="Header"/>
      <w:jc w:val="right"/>
    </w:pPr>
    <w:r>
      <w:t>Running head: ANSWERS TO QUESTIONS 1-3</w:t>
    </w:r>
    <w:r>
      <w:tab/>
    </w:r>
    <w:sdt>
      <w:sdtPr>
        <w:id w:val="21061480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65FA">
          <w:rPr>
            <w:noProof/>
          </w:rPr>
          <w:t>1</w:t>
        </w:r>
        <w:r>
          <w:rPr>
            <w:noProof/>
          </w:rPr>
          <w:fldChar w:fldCharType="end"/>
        </w:r>
      </w:sdtContent>
    </w:sdt>
  </w:p>
  <w:p w:rsidR="00765D74" w:rsidRDefault="00765D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MjQxMTQ2NDYxMTNR0lEKTi0uzszPAykwrAUAhKiCkywAAAA="/>
  </w:docVars>
  <w:rsids>
    <w:rsidRoot w:val="00E148DF"/>
    <w:rsid w:val="0002103F"/>
    <w:rsid w:val="000A56D8"/>
    <w:rsid w:val="0012258F"/>
    <w:rsid w:val="001B0E56"/>
    <w:rsid w:val="00290C64"/>
    <w:rsid w:val="002F0EC8"/>
    <w:rsid w:val="00313054"/>
    <w:rsid w:val="00360110"/>
    <w:rsid w:val="00403347"/>
    <w:rsid w:val="00430C69"/>
    <w:rsid w:val="00442ADD"/>
    <w:rsid w:val="005C6926"/>
    <w:rsid w:val="005F2253"/>
    <w:rsid w:val="006415B2"/>
    <w:rsid w:val="00765D74"/>
    <w:rsid w:val="00852F90"/>
    <w:rsid w:val="00887FCD"/>
    <w:rsid w:val="008B211D"/>
    <w:rsid w:val="009536F8"/>
    <w:rsid w:val="00982340"/>
    <w:rsid w:val="0098488E"/>
    <w:rsid w:val="009B143C"/>
    <w:rsid w:val="009F2D28"/>
    <w:rsid w:val="00AF47FE"/>
    <w:rsid w:val="00C31A1E"/>
    <w:rsid w:val="00C3387F"/>
    <w:rsid w:val="00C51E36"/>
    <w:rsid w:val="00CA2E75"/>
    <w:rsid w:val="00D1182A"/>
    <w:rsid w:val="00D865FA"/>
    <w:rsid w:val="00DA7F6B"/>
    <w:rsid w:val="00DF333B"/>
    <w:rsid w:val="00E148DF"/>
    <w:rsid w:val="00F27896"/>
    <w:rsid w:val="00F60D5D"/>
    <w:rsid w:val="00F71932"/>
    <w:rsid w:val="00FF6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65D7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D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D74"/>
    <w:rPr>
      <w:lang w:val="en-US"/>
    </w:rPr>
  </w:style>
  <w:style w:type="paragraph" w:styleId="Footer">
    <w:name w:val="footer"/>
    <w:basedOn w:val="Normal"/>
    <w:link w:val="FooterChar"/>
    <w:uiPriority w:val="99"/>
    <w:unhideWhenUsed/>
    <w:rsid w:val="00765D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D74"/>
    <w:rPr>
      <w:lang w:val="en-US"/>
    </w:rPr>
  </w:style>
  <w:style w:type="character" w:customStyle="1" w:styleId="Heading1Char">
    <w:name w:val="Heading 1 Char"/>
    <w:basedOn w:val="DefaultParagraphFont"/>
    <w:link w:val="Heading1"/>
    <w:uiPriority w:val="9"/>
    <w:rsid w:val="00765D74"/>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765D74"/>
  </w:style>
  <w:style w:type="paragraph" w:styleId="BalloonText">
    <w:name w:val="Balloon Text"/>
    <w:basedOn w:val="Normal"/>
    <w:link w:val="BalloonTextChar"/>
    <w:uiPriority w:val="99"/>
    <w:semiHidden/>
    <w:unhideWhenUsed/>
    <w:rsid w:val="00C33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87F"/>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65D7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D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D74"/>
    <w:rPr>
      <w:lang w:val="en-US"/>
    </w:rPr>
  </w:style>
  <w:style w:type="paragraph" w:styleId="Footer">
    <w:name w:val="footer"/>
    <w:basedOn w:val="Normal"/>
    <w:link w:val="FooterChar"/>
    <w:uiPriority w:val="99"/>
    <w:unhideWhenUsed/>
    <w:rsid w:val="00765D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D74"/>
    <w:rPr>
      <w:lang w:val="en-US"/>
    </w:rPr>
  </w:style>
  <w:style w:type="character" w:customStyle="1" w:styleId="Heading1Char">
    <w:name w:val="Heading 1 Char"/>
    <w:basedOn w:val="DefaultParagraphFont"/>
    <w:link w:val="Heading1"/>
    <w:uiPriority w:val="9"/>
    <w:rsid w:val="00765D74"/>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765D74"/>
  </w:style>
  <w:style w:type="paragraph" w:styleId="BalloonText">
    <w:name w:val="Balloon Text"/>
    <w:basedOn w:val="Normal"/>
    <w:link w:val="BalloonTextChar"/>
    <w:uiPriority w:val="99"/>
    <w:semiHidden/>
    <w:unhideWhenUsed/>
    <w:rsid w:val="00C33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87F"/>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414128">
      <w:bodyDiv w:val="1"/>
      <w:marLeft w:val="0"/>
      <w:marRight w:val="0"/>
      <w:marTop w:val="0"/>
      <w:marBottom w:val="0"/>
      <w:divBdr>
        <w:top w:val="none" w:sz="0" w:space="0" w:color="auto"/>
        <w:left w:val="none" w:sz="0" w:space="0" w:color="auto"/>
        <w:bottom w:val="none" w:sz="0" w:space="0" w:color="auto"/>
        <w:right w:val="none" w:sz="0" w:space="0" w:color="auto"/>
      </w:divBdr>
    </w:div>
    <w:div w:id="687757427">
      <w:bodyDiv w:val="1"/>
      <w:marLeft w:val="0"/>
      <w:marRight w:val="0"/>
      <w:marTop w:val="0"/>
      <w:marBottom w:val="0"/>
      <w:divBdr>
        <w:top w:val="none" w:sz="0" w:space="0" w:color="auto"/>
        <w:left w:val="none" w:sz="0" w:space="0" w:color="auto"/>
        <w:bottom w:val="none" w:sz="0" w:space="0" w:color="auto"/>
        <w:right w:val="none" w:sz="0" w:space="0" w:color="auto"/>
      </w:divBdr>
    </w:div>
    <w:div w:id="1167138266">
      <w:bodyDiv w:val="1"/>
      <w:marLeft w:val="0"/>
      <w:marRight w:val="0"/>
      <w:marTop w:val="0"/>
      <w:marBottom w:val="0"/>
      <w:divBdr>
        <w:top w:val="none" w:sz="0" w:space="0" w:color="auto"/>
        <w:left w:val="none" w:sz="0" w:space="0" w:color="auto"/>
        <w:bottom w:val="none" w:sz="0" w:space="0" w:color="auto"/>
        <w:right w:val="none" w:sz="0" w:space="0" w:color="auto"/>
      </w:divBdr>
    </w:div>
    <w:div w:id="187958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Too18</b:Tag>
    <b:SourceType>InternetSite</b:SourceType>
    <b:Guid>{2E03D501-B76C-420B-8C60-6D3E424D9A96}</b:Guid>
    <b:Author>
      <b:Author>
        <b:Corporate>Toolshero</b:Corporate>
      </b:Author>
    </b:Author>
    <b:Title>14 Principles of Management (Fayol)</b:Title>
    <b:Year>2018</b:Year>
    <b:URL>https://www.toolshero.com/management/14-principles-of-management/</b:URL>
    <b:RefOrder>3</b:RefOrder>
  </b:Source>
  <b:Source>
    <b:Tag>CPS</b:Tag>
    <b:SourceType>InternetSite</b:SourceType>
    <b:Guid>{883CF487-40E0-4C5A-AC35-C249324FD812}</b:Guid>
    <b:Author>
      <b:Author>
        <b:Corporate>CPSC</b:Corporate>
      </b:Author>
    </b:Author>
    <b:Title>United States Consumer Product Safety Commission</b:Title>
    <b:URL>https://www.cpsc.gov</b:URL>
    <b:RefOrder>2</b:RefOrder>
  </b:Source>
  <b:Source>
    <b:Tag>Cou</b:Tag>
    <b:SourceType>InternetSite</b:SourceType>
    <b:Guid>{5E3921F7-5099-4AEE-9076-8C85E0B97AF4}</b:Guid>
    <b:Author>
      <b:Author>
        <b:Corporate>Courtlistener</b:Corporate>
      </b:Author>
    </b:Author>
    <b:Title>Donovan v.Dewey, 452 US 594</b:Title>
    <b:URL>https://www.courtlistener.com/opinion/110530/donovan-v-dewey/</b:URL>
    <b:RefOrder>1</b:RefOrder>
  </b:Source>
</b:Sources>
</file>

<file path=customXml/itemProps1.xml><?xml version="1.0" encoding="utf-8"?>
<ds:datastoreItem xmlns:ds="http://schemas.openxmlformats.org/officeDocument/2006/customXml" ds:itemID="{88588717-9CAC-4883-9DA7-1102374B6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2019-04-21T11:57:00Z</dcterms:created>
  <dcterms:modified xsi:type="dcterms:W3CDTF">2019-04-21T11:57:00Z</dcterms:modified>
</cp:coreProperties>
</file>