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David Thompson v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Hearther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Hebdon </w:t>
      </w: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Student’s Name:</w:t>
      </w: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Institution:</w:t>
      </w: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Course:</w:t>
      </w: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Professor’s Name:</w:t>
      </w:r>
    </w:p>
    <w:p>
      <w:pPr>
        <w:pStyle w:val="style0"/>
        <w:spacing w:after="0" w:lineRule="auto" w: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Date: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SUPREME COURT OF</w:t>
      </w:r>
      <w:r>
        <w:rPr>
          <w:rFonts w:ascii="Times New Roman" w:hAnsi="Times New Roman"/>
          <w:sz w:val="24"/>
          <w:szCs w:val="24"/>
        </w:rPr>
        <w:t xml:space="preserve"> THE UNITED STATES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DAVID THOMPSON, ET AL VS HEATHER HEBDON </w:t>
      </w:r>
      <w:r>
        <w:rPr>
          <w:rFonts w:ascii="Times New Roman" w:hAnsi="Times New Roman"/>
          <w:sz w:val="24"/>
          <w:szCs w:val="24"/>
        </w:rPr>
        <w:t>EXECUTIVE DIRECTOR OF THE ALASKA PUBLIC OFFICES COMMISSION ET AL.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According to the</w:t>
      </w:r>
      <w:r>
        <w:rPr>
          <w:rFonts w:ascii="Times New Roman" w:hAnsi="Times New Roman"/>
          <w:sz w:val="24"/>
          <w:szCs w:val="24"/>
        </w:rPr>
        <w:t xml:space="preserve"> law in Alaska</w:t>
      </w:r>
      <w:r>
        <w:rPr>
          <w:rFonts w:ascii="Times New Roman" w:hAnsi="Times New Roman"/>
          <w:sz w:val="24"/>
          <w:szCs w:val="24"/>
        </w:rPr>
        <w:t xml:space="preserve">, the number of contributions one can make to an individual or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roup for political office is limited, the limitation is $500 p</w:t>
      </w:r>
      <w:r>
        <w:rPr>
          <w:rFonts w:ascii="Times New Roman" w:hAnsi="Times New Roman"/>
          <w:sz w:val="24"/>
          <w:szCs w:val="24"/>
        </w:rPr>
        <w:t>er year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Alaska Stat. 15.13.070(b)(1)(2018)</w:t>
      </w:r>
      <w:r>
        <w:rPr>
          <w:rFonts w:ascii="Times New Roman" w:hAnsi="Times New Roman"/>
          <w:sz w:val="24"/>
          <w:szCs w:val="24"/>
        </w:rPr>
        <w:t xml:space="preserve">. As a residence of </w:t>
      </w:r>
      <w:r>
        <w:rPr>
          <w:rFonts w:ascii="Times New Roman" w:hAnsi="Times New Roman"/>
          <w:sz w:val="24"/>
          <w:szCs w:val="24"/>
        </w:rPr>
        <w:t>Alaska</w:t>
      </w:r>
      <w:r>
        <w:rPr>
          <w:rFonts w:ascii="Times New Roman" w:hAnsi="Times New Roman"/>
          <w:sz w:val="24"/>
          <w:szCs w:val="24"/>
        </w:rPr>
        <w:t xml:space="preserve">, David Thompson decided to sue </w:t>
      </w:r>
      <w:r>
        <w:rPr>
          <w:rFonts w:ascii="Times New Roman" w:hAnsi="Times New Roman"/>
          <w:sz w:val="24"/>
          <w:szCs w:val="24"/>
        </w:rPr>
        <w:t xml:space="preserve">members of public offices commission in Alaska stating </w:t>
      </w:r>
      <w:r>
        <w:rPr>
          <w:rFonts w:ascii="Times New Roman" w:hAnsi="Times New Roman"/>
          <w:sz w:val="24"/>
          <w:szCs w:val="24"/>
        </w:rPr>
        <w:t>that the</w:t>
      </w:r>
      <w:r>
        <w:rPr>
          <w:rFonts w:ascii="Times New Roman" w:hAnsi="Times New Roman"/>
          <w:sz w:val="24"/>
          <w:szCs w:val="24"/>
        </w:rPr>
        <w:t xml:space="preserve"> law violate the First amendment 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It</w:t>
      </w:r>
      <w:r>
        <w:rPr>
          <w:rFonts w:ascii="Times New Roman" w:hAnsi="Times New Roman"/>
          <w:sz w:val="24"/>
          <w:szCs w:val="24"/>
        </w:rPr>
        <w:t xml:space="preserve"> is at some point in this way that a unique organization of records is provided within a statistical peak. The conclusion of the proclamation may or may not be a problem for the many decisions made by the district court within the case of David Thompson v Heather Hebdon, however it contains a modern view and a modern vision and wishes for careful and ongoing care. confirmation that at present it may not have been a criminal before. now it will no longer be the standard law | but it will be fashionable.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The presentation is entirely based on the way in which non-prison records are provided in the following. a terrific presentation may include a description of the relevant statistics and strategic features suggested within the case. </w:t>
      </w:r>
      <w:r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fully show everyone inside the case, the United States is suing him, according to what is happening, and what is happening in the document / court.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details are always summarized by the issue at the beginning of the opinion submitted in the form of a court docket. in higher cases, the validation of a single number of data is similarly determined within the type of argument or readability but differs from the inaccurate data garage.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Reference</w:t>
      </w:r>
      <w:r>
        <w:rPr>
          <w:rFonts w:ascii="Times New Roman" w:hAnsi="Times New Roman"/>
          <w:sz w:val="24"/>
          <w:szCs w:val="24"/>
        </w:rPr>
        <w:t>s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https://www.supremecourt.gov/opinion/</w:t>
      </w:r>
      <w:r>
        <w:rPr>
          <w:rFonts w:ascii="Times New Roman" w:hAnsi="Times New Roman"/>
          <w:sz w:val="24"/>
          <w:szCs w:val="24"/>
        </w:rPr>
        <w:t>opinionofthecourt/</w:t>
      </w:r>
      <w:r>
        <w:rPr>
          <w:rFonts w:ascii="Times New Roman" w:hAnsi="Times New Roman"/>
          <w:sz w:val="24"/>
          <w:szCs w:val="24"/>
        </w:rPr>
        <w:t xml:space="preserve">davidthompsonvhertherhebdon </w:t>
      </w:r>
    </w:p>
    <w:p>
      <w:pPr>
        <w:pStyle w:val="style0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"Legal Citation Guides/Authorities (U.S. Based)". Harvard Law School Library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Archived from the original on 2018-02-26. Retrieved 25 February 2018.</w:t>
      </w:r>
    </w:p>
    <w:sectPr>
      <w:headerReference w:type="default" r:id="rId2"/>
      <w:pgSz w:w="12240" w:h="15840" w:orient="portrait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0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0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0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Microsoft YaHei">
    <w:altName w:val="Microsoft YaHei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m="http://schemas.openxmlformats.org/officeDocument/2006/math">
  <w:p>
    <w:pPr>
      <w:pStyle w:val="style31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w="http://schemas.openxmlformats.org/wordprocessingml/2006/main">
  <w:docDefaults>
    <w:rPrDefault>
      <w:rPr>
        <w:rFonts w:ascii="Calibri" w:cs="Times New Roman" w:eastAsia="SimSun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Calibri" w:cs="Times New Roman" w:eastAsia="SimSun" w:hAnsi="Calibri"/>
      <w:sz w:val="22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  <w:rPr>
      <w:rFonts w:ascii="Calibri" w:cs="Times New Roman" w:eastAsia="SimSun" w:hAnsi="Calibri"/>
    </w:rPr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uiPriority w:val="99"/>
    <w:pPr>
      <w:jc w:val="left"/>
    </w:pPr>
    <w:r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680"/>
        <w:tab w:val="right" w:leader="none" w:pos="9360"/>
      </w:tabs>
    </w:pPr>
    <w:rPr/>
  </w:style>
  <w:style w:type="paragraph" w:styleId="style31">
    <w:name w:val="header"/>
    <w:basedOn w:val="style0"/>
    <w:next w:val="style31"/>
    <w:link w:val="style4097"/>
    <w:qFormat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bbc0f1c5-3f1f-4444-8b48-d8aacfcc1592"/>
    <w:basedOn w:val="style65"/>
    <w:next w:val="style4097"/>
    <w:link w:val="style31"/>
    <w:qFormat/>
    <w:uiPriority w:val="99"/>
    <w:rPr>
      <w:rFonts w:ascii="Calibri" w:cs="Times New Roman" w:eastAsia="SimSun" w:hAnsi="Calibri"/>
      <w:sz w:val="22"/>
      <w:szCs w:val="22"/>
      <w:lang w:eastAsia="zh-CN"/>
    </w:rPr>
  </w:style>
  <w:style w:type="character" w:customStyle="1" w:styleId="style4098">
    <w:name w:val="Footer Char_edc8fb88-7db7-419c-8e70-7003ce093247"/>
    <w:basedOn w:val="style65"/>
    <w:next w:val="style4098"/>
    <w:link w:val="style32"/>
    <w:qFormat/>
    <w:uiPriority w:val="99"/>
    <w:rPr>
      <w:rFonts w:ascii="Calibri" w:cs="Times New Roman" w:eastAsia="SimSun" w:hAnsi="Calibri"/>
      <w:sz w:val="22"/>
      <w:szCs w:val="22"/>
      <w:lang w:eastAsia="zh-CN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321</Words>
  <Characters>1708</Characters>
  <Application>WPS Office</Application>
  <DocSecurity>0</DocSecurity>
  <Paragraphs>50</Paragraphs>
  <ScaleCrop>false</ScaleCrop>
  <LinksUpToDate>false</LinksUpToDate>
  <CharactersWithSpaces>2017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2021-09-05T09:21:50Z</dcterms:created>
  <dc:creator>TECNO W2</dc:creator>
  <lastModifiedBy>TECNO DP7C Pro-SGA1</lastModifiedBy>
  <dcterms:modified xsi:type="dcterms:W3CDTF">2021-09-05T09:21:50Z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1033-11.2.0.10094</vt:lpwstr>
  </property>
</Properties>
</file>