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Default="007227EE" w:rsidP="007227EE">
      <w:pPr>
        <w:spacing w:after="0" w:line="480" w:lineRule="auto"/>
        <w:jc w:val="center"/>
        <w:rPr>
          <w:rFonts w:ascii="Times New Roman" w:hAnsi="Times New Roman" w:cs="Times New Roman"/>
          <w:bCs/>
          <w:sz w:val="24"/>
          <w:szCs w:val="24"/>
        </w:rPr>
      </w:pPr>
    </w:p>
    <w:p w:rsidR="007227EE" w:rsidRDefault="007227EE" w:rsidP="007227EE">
      <w:pPr>
        <w:spacing w:after="0" w:line="480" w:lineRule="auto"/>
        <w:jc w:val="center"/>
        <w:rPr>
          <w:rFonts w:ascii="Times New Roman" w:hAnsi="Times New Roman" w:cs="Times New Roman"/>
          <w:bCs/>
          <w:sz w:val="24"/>
          <w:szCs w:val="24"/>
        </w:rPr>
      </w:pPr>
    </w:p>
    <w:p w:rsidR="007227EE" w:rsidRDefault="007227EE" w:rsidP="007227EE">
      <w:pPr>
        <w:spacing w:after="0" w:line="480" w:lineRule="auto"/>
        <w:jc w:val="center"/>
        <w:rPr>
          <w:rFonts w:ascii="Times New Roman" w:hAnsi="Times New Roman" w:cs="Times New Roman"/>
          <w:bCs/>
          <w:sz w:val="24"/>
          <w:szCs w:val="24"/>
        </w:rPr>
      </w:pPr>
    </w:p>
    <w:p w:rsidR="007227EE" w:rsidRDefault="007227EE" w:rsidP="007227EE">
      <w:pPr>
        <w:spacing w:after="0" w:line="480" w:lineRule="auto"/>
        <w:jc w:val="center"/>
        <w:rPr>
          <w:rFonts w:ascii="Times New Roman" w:hAnsi="Times New Roman" w:cs="Times New Roman"/>
          <w:bCs/>
          <w:sz w:val="24"/>
          <w:szCs w:val="24"/>
        </w:rPr>
      </w:pPr>
    </w:p>
    <w:p w:rsid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r w:rsidRPr="007227EE">
        <w:rPr>
          <w:rFonts w:ascii="Times New Roman" w:hAnsi="Times New Roman" w:cs="Times New Roman"/>
          <w:bCs/>
          <w:sz w:val="24"/>
          <w:szCs w:val="24"/>
        </w:rPr>
        <w:t xml:space="preserve">Law and Ethics </w:t>
      </w:r>
    </w:p>
    <w:p w:rsidR="007227EE" w:rsidRPr="007227EE" w:rsidRDefault="007227EE" w:rsidP="007227EE">
      <w:pPr>
        <w:spacing w:after="0" w:line="480" w:lineRule="auto"/>
        <w:jc w:val="center"/>
        <w:rPr>
          <w:rFonts w:ascii="Times New Roman" w:hAnsi="Times New Roman" w:cs="Times New Roman"/>
          <w:bCs/>
          <w:sz w:val="24"/>
          <w:szCs w:val="24"/>
        </w:rPr>
      </w:pPr>
      <w:r w:rsidRPr="007227EE">
        <w:rPr>
          <w:rFonts w:ascii="Times New Roman" w:hAnsi="Times New Roman" w:cs="Times New Roman"/>
          <w:bCs/>
          <w:sz w:val="24"/>
          <w:szCs w:val="24"/>
        </w:rPr>
        <w:t>Name of the Student</w:t>
      </w:r>
    </w:p>
    <w:p w:rsidR="007227EE" w:rsidRPr="007227EE" w:rsidRDefault="007227EE" w:rsidP="007227EE">
      <w:pPr>
        <w:spacing w:after="0" w:line="480" w:lineRule="auto"/>
        <w:jc w:val="center"/>
        <w:rPr>
          <w:rFonts w:ascii="Times New Roman" w:hAnsi="Times New Roman" w:cs="Times New Roman"/>
          <w:bCs/>
          <w:sz w:val="24"/>
          <w:szCs w:val="24"/>
        </w:rPr>
      </w:pPr>
      <w:r w:rsidRPr="007227EE">
        <w:rPr>
          <w:rFonts w:ascii="Times New Roman" w:hAnsi="Times New Roman" w:cs="Times New Roman"/>
          <w:bCs/>
          <w:sz w:val="24"/>
          <w:szCs w:val="24"/>
        </w:rPr>
        <w:t>Institution</w:t>
      </w: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Cs/>
          <w:sz w:val="24"/>
          <w:szCs w:val="24"/>
        </w:rPr>
      </w:pPr>
    </w:p>
    <w:p w:rsidR="007227EE" w:rsidRPr="007227EE" w:rsidRDefault="007227EE" w:rsidP="007227EE">
      <w:pPr>
        <w:spacing w:after="0" w:line="480" w:lineRule="auto"/>
        <w:jc w:val="center"/>
        <w:rPr>
          <w:rFonts w:ascii="Times New Roman" w:hAnsi="Times New Roman" w:cs="Times New Roman"/>
          <w:b/>
          <w:bCs/>
          <w:sz w:val="24"/>
          <w:szCs w:val="24"/>
        </w:rPr>
      </w:pPr>
      <w:r w:rsidRPr="007227EE">
        <w:rPr>
          <w:rFonts w:ascii="Times New Roman" w:hAnsi="Times New Roman" w:cs="Times New Roman"/>
          <w:b/>
          <w:bCs/>
          <w:sz w:val="24"/>
          <w:szCs w:val="24"/>
        </w:rPr>
        <w:lastRenderedPageBreak/>
        <w:t>Intellectual Property</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Intellectual property law is rule and regulations that govern peoples and the company's rights to intellectual property. These laws motivate the creation of quality and a variety of intellectual goods in a country (May, 2015). This law allows property owners to benefit from the intelligent products they create for a given period. Intellectual property rights provide security to peoples and the company's ideas and information. A company is granted the power and motivation to come up with innovations and ideas without the fear of it been stolen by their competitors. Intellectual rights include copyrights, trademarks, and company secrets.</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The arguments made by both Jabil and S</w:t>
      </w:r>
      <w:r w:rsidR="007827E9">
        <w:rPr>
          <w:rFonts w:ascii="Times New Roman" w:hAnsi="Times New Roman" w:cs="Times New Roman"/>
          <w:sz w:val="24"/>
          <w:szCs w:val="24"/>
        </w:rPr>
        <w:t>anchez are right. Jabil argues</w:t>
      </w:r>
      <w:r w:rsidRPr="007227EE">
        <w:rPr>
          <w:rFonts w:ascii="Times New Roman" w:hAnsi="Times New Roman" w:cs="Times New Roman"/>
          <w:sz w:val="24"/>
          <w:szCs w:val="24"/>
        </w:rPr>
        <w:t xml:space="preserve"> that Sanchez should cease his production of the counterfeit goods from another company using the same trademark. The Jabil </w:t>
      </w:r>
      <w:r w:rsidR="007827E9" w:rsidRPr="007227EE">
        <w:rPr>
          <w:rFonts w:ascii="Times New Roman" w:hAnsi="Times New Roman" w:cs="Times New Roman"/>
          <w:sz w:val="24"/>
          <w:szCs w:val="24"/>
        </w:rPr>
        <w:t>Company</w:t>
      </w:r>
      <w:r w:rsidRPr="007227EE">
        <w:rPr>
          <w:rFonts w:ascii="Times New Roman" w:hAnsi="Times New Roman" w:cs="Times New Roman"/>
          <w:sz w:val="24"/>
          <w:szCs w:val="24"/>
        </w:rPr>
        <w:t xml:space="preserve"> has the right to enjoy its trademark without any other company using it. Sanchez deprived Jabil of that right when he opened a company to produce the same goods with the Jabil's ideas in a different geographical </w:t>
      </w:r>
      <w:r w:rsidR="007827E9" w:rsidRPr="007227EE">
        <w:rPr>
          <w:rFonts w:ascii="Times New Roman" w:hAnsi="Times New Roman" w:cs="Times New Roman"/>
          <w:sz w:val="24"/>
          <w:szCs w:val="24"/>
        </w:rPr>
        <w:t>location (</w:t>
      </w:r>
      <w:r w:rsidRPr="007227EE">
        <w:rPr>
          <w:rFonts w:ascii="Times New Roman" w:hAnsi="Times New Roman" w:cs="Times New Roman"/>
          <w:sz w:val="24"/>
          <w:szCs w:val="24"/>
        </w:rPr>
        <w:t xml:space="preserve">May, 2015). Therefore, Jabil has the right to file a lawsuit on Sanchez for using his trademark and producing counterfeit goods. The court should cease Sanchez from using Jabil's ideas to create products for his company and stop destroying certain documents. </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 xml:space="preserve">The argument by Sanchez that the US district court has no authority to question the activities going on in another country such as Mexico, in this case, is valid. The US court has the power to ask any lawful act happening within the </w:t>
      </w:r>
      <w:r w:rsidR="007827E9" w:rsidRPr="007227EE">
        <w:rPr>
          <w:rFonts w:ascii="Times New Roman" w:hAnsi="Times New Roman" w:cs="Times New Roman"/>
          <w:sz w:val="24"/>
          <w:szCs w:val="24"/>
        </w:rPr>
        <w:t>United States</w:t>
      </w:r>
      <w:r w:rsidRPr="007227EE">
        <w:rPr>
          <w:rFonts w:ascii="Times New Roman" w:hAnsi="Times New Roman" w:cs="Times New Roman"/>
          <w:sz w:val="24"/>
          <w:szCs w:val="24"/>
        </w:rPr>
        <w:t xml:space="preserve"> only but other countries outside the borders. Jabil did not have the right to freeze the assets of Sanchez at any time but has the right to protect his intelligence by suing Sanchez of using his trademark and producing counterfeit goods (May, 2015). The outcome in this scenario is that through the US district court, Jabil can cease Sanchez's activities against the intellectual property laws, but his assets are not allowed to be frozen by the US court. </w:t>
      </w:r>
    </w:p>
    <w:p w:rsidR="007227EE" w:rsidRPr="007227EE" w:rsidRDefault="007227EE" w:rsidP="007227EE">
      <w:pPr>
        <w:spacing w:after="0" w:line="480" w:lineRule="auto"/>
        <w:jc w:val="center"/>
        <w:rPr>
          <w:rFonts w:ascii="Times New Roman" w:hAnsi="Times New Roman" w:cs="Times New Roman"/>
          <w:b/>
          <w:bCs/>
          <w:sz w:val="24"/>
          <w:szCs w:val="24"/>
        </w:rPr>
      </w:pPr>
      <w:r w:rsidRPr="007227EE">
        <w:rPr>
          <w:rFonts w:ascii="Times New Roman" w:hAnsi="Times New Roman" w:cs="Times New Roman"/>
          <w:b/>
          <w:bCs/>
          <w:sz w:val="24"/>
          <w:szCs w:val="24"/>
        </w:rPr>
        <w:t>Contracts</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 xml:space="preserve">A contract is an agreement between two or more parties that is legal. A deal can be spoken, written, or implied with evidence of approval by all parties involved. From the case in the scenario, five, Martin has the right to enforce her boss's promise to the employee's rights since. Martins boss promised to promote Martin and increase her pay if she did not leave the company for another, thus making it a legal agreement between the </w:t>
      </w:r>
      <w:r w:rsidR="007827E9" w:rsidRPr="007227EE">
        <w:rPr>
          <w:rFonts w:ascii="Times New Roman" w:hAnsi="Times New Roman" w:cs="Times New Roman"/>
          <w:sz w:val="24"/>
          <w:szCs w:val="24"/>
        </w:rPr>
        <w:t>two (</w:t>
      </w:r>
      <w:r w:rsidRPr="007227EE">
        <w:rPr>
          <w:rFonts w:ascii="Times New Roman" w:hAnsi="Times New Roman" w:cs="Times New Roman"/>
          <w:sz w:val="24"/>
          <w:szCs w:val="24"/>
        </w:rPr>
        <w:t>Goldberger</w:t>
      </w:r>
      <w:r w:rsidR="007827E9" w:rsidRPr="007227EE">
        <w:rPr>
          <w:rFonts w:ascii="Times New Roman" w:hAnsi="Times New Roman" w:cs="Times New Roman"/>
          <w:sz w:val="24"/>
          <w:szCs w:val="24"/>
        </w:rPr>
        <w:t>, 2018</w:t>
      </w:r>
      <w:r w:rsidRPr="007227EE">
        <w:rPr>
          <w:rFonts w:ascii="Times New Roman" w:hAnsi="Times New Roman" w:cs="Times New Roman"/>
          <w:sz w:val="24"/>
          <w:szCs w:val="24"/>
        </w:rPr>
        <w:t xml:space="preserve">). There is a breach of contract on martins' point of view since his promises were not fulfilled as promised by his boss since after the company takes </w:t>
      </w:r>
      <w:r w:rsidR="007827E9" w:rsidRPr="007227EE">
        <w:rPr>
          <w:rFonts w:ascii="Times New Roman" w:hAnsi="Times New Roman" w:cs="Times New Roman"/>
          <w:sz w:val="24"/>
          <w:szCs w:val="24"/>
        </w:rPr>
        <w:t>over;</w:t>
      </w:r>
      <w:r w:rsidRPr="007227EE">
        <w:rPr>
          <w:rFonts w:ascii="Times New Roman" w:hAnsi="Times New Roman" w:cs="Times New Roman"/>
          <w:sz w:val="24"/>
          <w:szCs w:val="24"/>
        </w:rPr>
        <w:t xml:space="preserve"> he was not his boss anymore. Using the theory of a contract a fiducial obligation, Martin has the right to sue the company for the promise made by his boss before the takeover. Since Martin is still an employee in the company, then the new boss should fulfill the contract by honoring the terms and conditions made promised. </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The newly merged company could argue that since the hierarchy of the company as changed and there exists a new boss, then martins' contract should be canceled. The argument may be correct in the fact that one of the parties involved in the deal is no longer in the position to abide by the terms and conditions of the contract anymore</w:t>
      </w:r>
      <w:bookmarkStart w:id="0" w:name="_Hlk19568204"/>
      <w:r w:rsidRPr="007227EE">
        <w:rPr>
          <w:rFonts w:ascii="Times New Roman" w:hAnsi="Times New Roman" w:cs="Times New Roman"/>
          <w:sz w:val="24"/>
          <w:szCs w:val="24"/>
        </w:rPr>
        <w:t xml:space="preserve">(May, 2015). </w:t>
      </w:r>
      <w:bookmarkEnd w:id="0"/>
      <w:r w:rsidRPr="007227EE">
        <w:rPr>
          <w:rFonts w:ascii="Times New Roman" w:hAnsi="Times New Roman" w:cs="Times New Roman"/>
          <w:sz w:val="24"/>
          <w:szCs w:val="24"/>
        </w:rPr>
        <w:t>It can also be wrong in that as long as Martin is an employee in the merged company, his rights should be respected and the deal continued by the new boss of the company. The other argument could be in the sense that if there is a unique formation in the company's management, then the contract between Martin and his boss should be canceled. The contract should be fulfilled, and Martin should be granted his promotion and a pay raise by the new Bayfront hospital. This case is because there exists an enforceable breach of contract in the scenario where the court should rule in favor of Martin.</w:t>
      </w:r>
    </w:p>
    <w:p w:rsidR="007227EE" w:rsidRPr="007227EE" w:rsidRDefault="007227EE" w:rsidP="007227EE">
      <w:pPr>
        <w:spacing w:after="0" w:line="480" w:lineRule="auto"/>
        <w:jc w:val="center"/>
        <w:rPr>
          <w:rFonts w:ascii="Times New Roman" w:hAnsi="Times New Roman" w:cs="Times New Roman"/>
          <w:b/>
          <w:bCs/>
          <w:sz w:val="24"/>
          <w:szCs w:val="24"/>
        </w:rPr>
      </w:pPr>
      <w:r w:rsidRPr="007227EE">
        <w:rPr>
          <w:rFonts w:ascii="Times New Roman" w:hAnsi="Times New Roman" w:cs="Times New Roman"/>
          <w:b/>
          <w:bCs/>
          <w:sz w:val="24"/>
          <w:szCs w:val="24"/>
        </w:rPr>
        <w:t>Antitrust</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 xml:space="preserve">Antitrust laws are a set of rules and regulations that govern the operation and management of organizations to promote competition and protect the rights of consumers. Antitrust law consists of Acts which help protect the rights of consumers such as price discrimination (Buxbaum, 2018). Organizations should operate in ways that do not discriminate their customers in a competing environment. One of the antitrust law Act prohibits a company performing actions that restrict trade, such as price-fixing and cartel operations. For example, a company should not set high limits of discounts that most of its customers cannot achieve. The law allows customers to enjoy their purchasing and aftersales rights from the seller. The purpose of the antitrust laws is to encourage competition among companies and protect their customers from unfair treatment by the seller. </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In scenario six, there is a violation of price discrimination laws. Price discrimination is an illegal operation to organizations under the Sherman Antitrust Act. Jabil circuits practiced illicit discrimination price by setting a high discount price which only a few customers enjoyed (Buxbaum, 2018). By setting the level of getting a discount benefited only three customers in the Jabil circuits company and the rest were discriminated from the discount benefits. Jabil circuits may have had the primary aim to motivate the customers, so a to increase sells and be at the top of its competitors. When the price discrimination is not to harm the customers, then it is legal ad, there is no violation of the antitrust laws. In Jabil's case, there is a violation of price discrimination laws since his motive ended up favoring some of his clients and not others.</w:t>
      </w:r>
    </w:p>
    <w:p w:rsidR="007227EE" w:rsidRDefault="007227EE" w:rsidP="007227EE">
      <w:pPr>
        <w:spacing w:after="0" w:line="480" w:lineRule="auto"/>
        <w:jc w:val="center"/>
        <w:rPr>
          <w:rFonts w:ascii="Times New Roman" w:hAnsi="Times New Roman" w:cs="Times New Roman"/>
          <w:b/>
          <w:bCs/>
          <w:sz w:val="24"/>
          <w:szCs w:val="24"/>
        </w:rPr>
      </w:pPr>
    </w:p>
    <w:p w:rsidR="007227EE" w:rsidRPr="007227EE" w:rsidRDefault="007227EE" w:rsidP="007227EE">
      <w:pPr>
        <w:spacing w:after="0" w:line="480" w:lineRule="auto"/>
        <w:jc w:val="center"/>
        <w:rPr>
          <w:rFonts w:ascii="Times New Roman" w:hAnsi="Times New Roman" w:cs="Times New Roman"/>
          <w:b/>
          <w:bCs/>
          <w:sz w:val="24"/>
          <w:szCs w:val="24"/>
        </w:rPr>
      </w:pPr>
      <w:r w:rsidRPr="007227EE">
        <w:rPr>
          <w:rFonts w:ascii="Times New Roman" w:hAnsi="Times New Roman" w:cs="Times New Roman"/>
          <w:b/>
          <w:bCs/>
          <w:sz w:val="24"/>
          <w:szCs w:val="24"/>
        </w:rPr>
        <w:t>Torts and Negligence</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Tort and negligence laws are the rules and regulations that govern situations where a problem is caused as a result of failure to follow the set rules and expected ethical practices. The harm caused as a result of negligence is referred to as tort, and some laws govern how a court should rule out such a case (Luntz, 2017).  In the case of scenario seven, Ronnie is supposed to recover compensation. Ronnie has the right to sue Tony's estate and the Jabil circuits for the harm and damages caused during the accident. The torts and negligence law provide that the party that has caused injury, harm, or loss is responsible for the compensation of the later.</w:t>
      </w:r>
    </w:p>
    <w:p w:rsidR="007227EE" w:rsidRPr="007227EE" w:rsidRDefault="007227EE" w:rsidP="007227EE">
      <w:pPr>
        <w:spacing w:after="0" w:line="480" w:lineRule="auto"/>
        <w:jc w:val="center"/>
        <w:rPr>
          <w:rFonts w:ascii="Times New Roman" w:hAnsi="Times New Roman" w:cs="Times New Roman"/>
          <w:b/>
          <w:bCs/>
          <w:sz w:val="24"/>
          <w:szCs w:val="24"/>
        </w:rPr>
      </w:pPr>
      <w:r w:rsidRPr="007227EE">
        <w:rPr>
          <w:rFonts w:ascii="Times New Roman" w:hAnsi="Times New Roman" w:cs="Times New Roman"/>
          <w:b/>
          <w:bCs/>
          <w:sz w:val="24"/>
          <w:szCs w:val="24"/>
        </w:rPr>
        <w:t>Recommendations</w:t>
      </w:r>
    </w:p>
    <w:p w:rsidR="007227EE" w:rsidRPr="007227EE" w:rsidRDefault="007227EE" w:rsidP="007227EE">
      <w:pPr>
        <w:spacing w:after="0" w:line="480" w:lineRule="auto"/>
        <w:ind w:firstLine="720"/>
        <w:rPr>
          <w:rFonts w:ascii="Times New Roman" w:hAnsi="Times New Roman" w:cs="Times New Roman"/>
          <w:sz w:val="24"/>
          <w:szCs w:val="24"/>
        </w:rPr>
      </w:pPr>
      <w:r w:rsidRPr="007227EE">
        <w:rPr>
          <w:rFonts w:ascii="Times New Roman" w:hAnsi="Times New Roman" w:cs="Times New Roman"/>
          <w:sz w:val="24"/>
          <w:szCs w:val="24"/>
        </w:rPr>
        <w:t xml:space="preserve">Jabil Circuits Company is faced with several ethical issues in its operations as identified from the above scenarios. Such problems include diversity and teamwork in the place of work, operation and governance issues, contract and business law compliance issues(Huber, 2017). Jabil circuits should ensure that they follow the regulations set for business operations to avoid law compliance issues. By providing diversity and teamwork issues such as contract, problems would be managed. Jabil circuits should advise its employees on tort and negligence to ensure safety is maintained in and out of the organization.  Good governance helps in the management and operation of an organization, and some upcoming issues such as the contract problems would be solved. Decision making is one of the issues that Jabil Circuit </w:t>
      </w:r>
      <w:r w:rsidR="007827E9" w:rsidRPr="007227EE">
        <w:rPr>
          <w:rFonts w:ascii="Times New Roman" w:hAnsi="Times New Roman" w:cs="Times New Roman"/>
          <w:sz w:val="24"/>
          <w:szCs w:val="24"/>
        </w:rPr>
        <w:t>Company</w:t>
      </w:r>
      <w:r w:rsidRPr="007227EE">
        <w:rPr>
          <w:rFonts w:ascii="Times New Roman" w:hAnsi="Times New Roman" w:cs="Times New Roman"/>
          <w:sz w:val="24"/>
          <w:szCs w:val="24"/>
        </w:rPr>
        <w:t xml:space="preserve"> faces. This problem can be solved by using the open-minded management strategy where all members of the company are involved in decision making.</w:t>
      </w:r>
    </w:p>
    <w:p w:rsidR="007227EE" w:rsidRPr="007227EE" w:rsidRDefault="007227EE" w:rsidP="007227EE">
      <w:pPr>
        <w:spacing w:after="0" w:line="480" w:lineRule="auto"/>
        <w:rPr>
          <w:rFonts w:ascii="Times New Roman" w:hAnsi="Times New Roman" w:cs="Times New Roman"/>
          <w:sz w:val="24"/>
          <w:szCs w:val="24"/>
        </w:rPr>
      </w:pPr>
    </w:p>
    <w:p w:rsidR="007227EE" w:rsidRPr="007227EE" w:rsidRDefault="007227EE" w:rsidP="007227EE">
      <w:pPr>
        <w:spacing w:after="0" w:line="480" w:lineRule="auto"/>
        <w:rPr>
          <w:rFonts w:ascii="Times New Roman" w:hAnsi="Times New Roman" w:cs="Times New Roman"/>
          <w:sz w:val="24"/>
          <w:szCs w:val="24"/>
        </w:rPr>
      </w:pPr>
    </w:p>
    <w:p w:rsidR="007227EE" w:rsidRPr="007227EE" w:rsidRDefault="007227EE" w:rsidP="007227EE">
      <w:pPr>
        <w:spacing w:after="0" w:line="480" w:lineRule="auto"/>
        <w:rPr>
          <w:rFonts w:ascii="Times New Roman" w:hAnsi="Times New Roman" w:cs="Times New Roman"/>
          <w:sz w:val="24"/>
          <w:szCs w:val="24"/>
        </w:rPr>
      </w:pPr>
    </w:p>
    <w:p w:rsidR="00053DAA" w:rsidRPr="007227EE" w:rsidRDefault="007227EE" w:rsidP="007227EE">
      <w:pPr>
        <w:spacing w:after="0" w:line="480" w:lineRule="auto"/>
        <w:jc w:val="center"/>
        <w:rPr>
          <w:rFonts w:ascii="Times New Roman" w:hAnsi="Times New Roman" w:cs="Times New Roman"/>
          <w:sz w:val="24"/>
          <w:szCs w:val="24"/>
        </w:rPr>
      </w:pPr>
      <w:r w:rsidRPr="007227EE">
        <w:rPr>
          <w:rFonts w:ascii="Times New Roman" w:hAnsi="Times New Roman" w:cs="Times New Roman"/>
          <w:sz w:val="24"/>
          <w:szCs w:val="24"/>
        </w:rPr>
        <w:t>References</w:t>
      </w:r>
    </w:p>
    <w:p w:rsidR="001736EF" w:rsidRPr="007227EE" w:rsidRDefault="001736EF" w:rsidP="007227EE">
      <w:pPr>
        <w:spacing w:after="0" w:line="480" w:lineRule="auto"/>
        <w:rPr>
          <w:rFonts w:ascii="Times New Roman" w:hAnsi="Times New Roman" w:cs="Times New Roman"/>
          <w:sz w:val="24"/>
          <w:szCs w:val="24"/>
        </w:rPr>
      </w:pPr>
      <w:bookmarkStart w:id="1" w:name="_Hlk19568141"/>
      <w:r w:rsidRPr="007227EE">
        <w:rPr>
          <w:rFonts w:ascii="Times New Roman" w:hAnsi="Times New Roman" w:cs="Times New Roman"/>
          <w:sz w:val="24"/>
          <w:szCs w:val="24"/>
        </w:rPr>
        <w:t>Buxbaum, H. L. (2018). Transnational Antitrust Law.</w:t>
      </w:r>
    </w:p>
    <w:p w:rsidR="001736EF" w:rsidRPr="007227EE" w:rsidRDefault="001736EF" w:rsidP="007227EE">
      <w:pPr>
        <w:spacing w:after="0" w:line="480" w:lineRule="auto"/>
        <w:rPr>
          <w:rFonts w:ascii="Times New Roman" w:hAnsi="Times New Roman" w:cs="Times New Roman"/>
          <w:sz w:val="24"/>
          <w:szCs w:val="24"/>
        </w:rPr>
      </w:pPr>
      <w:r w:rsidRPr="007227EE">
        <w:rPr>
          <w:rFonts w:ascii="Times New Roman" w:hAnsi="Times New Roman" w:cs="Times New Roman"/>
          <w:sz w:val="24"/>
          <w:szCs w:val="24"/>
        </w:rPr>
        <w:t>Goldberger, J. (2018). Assessment of damages for breach of contract. Commercial Law</w:t>
      </w:r>
      <w:r w:rsidRPr="007227EE">
        <w:rPr>
          <w:rFonts w:ascii="Times New Roman" w:hAnsi="Times New Roman" w:cs="Times New Roman"/>
          <w:sz w:val="24"/>
          <w:szCs w:val="24"/>
        </w:rPr>
        <w:tab/>
        <w:t>Quarterly: The Journal of the Commercial Law Association of Australia, 32(3), 12.</w:t>
      </w:r>
    </w:p>
    <w:p w:rsidR="001736EF" w:rsidRDefault="001736EF" w:rsidP="001736EF">
      <w:pPr>
        <w:spacing w:line="480" w:lineRule="auto"/>
        <w:rPr>
          <w:rFonts w:ascii="Times New Roman" w:hAnsi="Times New Roman" w:cs="Times New Roman"/>
          <w:sz w:val="24"/>
          <w:szCs w:val="24"/>
        </w:rPr>
      </w:pPr>
      <w:bookmarkStart w:id="2" w:name="_Hlk19568335"/>
      <w:bookmarkEnd w:id="1"/>
      <w:r w:rsidRPr="00EA661C">
        <w:rPr>
          <w:rFonts w:ascii="Times New Roman" w:hAnsi="Times New Roman" w:cs="Times New Roman"/>
          <w:sz w:val="24"/>
          <w:szCs w:val="24"/>
        </w:rPr>
        <w:t>Huber, W. (2017)</w:t>
      </w:r>
      <w:bookmarkEnd w:id="2"/>
      <w:r w:rsidRPr="00EA661C">
        <w:rPr>
          <w:rFonts w:ascii="Times New Roman" w:hAnsi="Times New Roman" w:cs="Times New Roman"/>
          <w:sz w:val="24"/>
          <w:szCs w:val="24"/>
        </w:rPr>
        <w:t>. Forensic accounting,</w:t>
      </w:r>
      <w:bookmarkStart w:id="3" w:name="_GoBack"/>
      <w:bookmarkEnd w:id="3"/>
      <w:r w:rsidRPr="00EA661C">
        <w:rPr>
          <w:rFonts w:ascii="Times New Roman" w:hAnsi="Times New Roman" w:cs="Times New Roman"/>
          <w:sz w:val="24"/>
          <w:szCs w:val="24"/>
        </w:rPr>
        <w:t xml:space="preserve"> fraud theory, and the end of</w:t>
      </w:r>
      <w:r>
        <w:rPr>
          <w:rFonts w:ascii="Times New Roman" w:hAnsi="Times New Roman" w:cs="Times New Roman"/>
          <w:sz w:val="24"/>
          <w:szCs w:val="24"/>
        </w:rPr>
        <w:t xml:space="preserve"> the fraud triangle. Journal of</w:t>
      </w:r>
      <w:r>
        <w:rPr>
          <w:rFonts w:ascii="Times New Roman" w:hAnsi="Times New Roman" w:cs="Times New Roman"/>
          <w:sz w:val="24"/>
          <w:szCs w:val="24"/>
        </w:rPr>
        <w:tab/>
      </w:r>
      <w:r w:rsidRPr="00EA661C">
        <w:rPr>
          <w:rFonts w:ascii="Times New Roman" w:hAnsi="Times New Roman" w:cs="Times New Roman"/>
          <w:sz w:val="24"/>
          <w:szCs w:val="24"/>
        </w:rPr>
        <w:t>Theoretical Accounting Research, 12(2).</w:t>
      </w:r>
    </w:p>
    <w:p w:rsidR="001736EF" w:rsidRDefault="001736EF" w:rsidP="007227EE">
      <w:pPr>
        <w:spacing w:after="0" w:line="480" w:lineRule="auto"/>
        <w:rPr>
          <w:rFonts w:ascii="Times New Roman" w:hAnsi="Times New Roman" w:cs="Times New Roman"/>
          <w:sz w:val="24"/>
          <w:szCs w:val="24"/>
        </w:rPr>
      </w:pPr>
      <w:r w:rsidRPr="007227EE">
        <w:rPr>
          <w:rFonts w:ascii="Times New Roman" w:hAnsi="Times New Roman" w:cs="Times New Roman"/>
          <w:sz w:val="24"/>
          <w:szCs w:val="24"/>
        </w:rPr>
        <w:t>Luntz, H., Hambly, D., Burns, K., Dietrich, J., Foster, N., Grant, G., &amp;</w:t>
      </w:r>
      <w:bookmarkStart w:id="4" w:name="_Hlk19567879"/>
      <w:r w:rsidRPr="007227EE">
        <w:rPr>
          <w:rFonts w:ascii="Times New Roman" w:hAnsi="Times New Roman" w:cs="Times New Roman"/>
          <w:sz w:val="24"/>
          <w:szCs w:val="24"/>
        </w:rPr>
        <w:t>Harder, S. (2017)</w:t>
      </w:r>
      <w:bookmarkEnd w:id="4"/>
      <w:r w:rsidRPr="007227EE">
        <w:rPr>
          <w:rFonts w:ascii="Times New Roman" w:hAnsi="Times New Roman" w:cs="Times New Roman"/>
          <w:sz w:val="24"/>
          <w:szCs w:val="24"/>
        </w:rPr>
        <w:t>. Torts:</w:t>
      </w:r>
      <w:r w:rsidRPr="007227EE">
        <w:rPr>
          <w:rFonts w:ascii="Times New Roman" w:hAnsi="Times New Roman" w:cs="Times New Roman"/>
          <w:sz w:val="24"/>
          <w:szCs w:val="24"/>
        </w:rPr>
        <w:tab/>
        <w:t>cases and commentary. LexisNexis Butterworths.</w:t>
      </w:r>
    </w:p>
    <w:p w:rsidR="001736EF" w:rsidRPr="007227EE" w:rsidRDefault="001736EF" w:rsidP="007227EE">
      <w:pPr>
        <w:spacing w:after="0" w:line="480" w:lineRule="auto"/>
        <w:rPr>
          <w:rFonts w:ascii="Times New Roman" w:hAnsi="Times New Roman" w:cs="Times New Roman"/>
          <w:sz w:val="24"/>
          <w:szCs w:val="24"/>
        </w:rPr>
      </w:pPr>
      <w:r w:rsidRPr="007227EE">
        <w:rPr>
          <w:rFonts w:ascii="Times New Roman" w:hAnsi="Times New Roman" w:cs="Times New Roman"/>
          <w:sz w:val="24"/>
          <w:szCs w:val="24"/>
        </w:rPr>
        <w:t>May, C. (2015). The global political economy of intellectual property rights: The new</w:t>
      </w:r>
      <w:r w:rsidRPr="007227EE">
        <w:rPr>
          <w:rFonts w:ascii="Times New Roman" w:hAnsi="Times New Roman" w:cs="Times New Roman"/>
          <w:sz w:val="24"/>
          <w:szCs w:val="24"/>
        </w:rPr>
        <w:tab/>
        <w:t>enclosures. Routledge.</w:t>
      </w:r>
    </w:p>
    <w:p w:rsidR="001736EF" w:rsidRPr="007227EE" w:rsidRDefault="001736EF" w:rsidP="007227EE">
      <w:pPr>
        <w:spacing w:after="0" w:line="480" w:lineRule="auto"/>
        <w:rPr>
          <w:rFonts w:ascii="Times New Roman" w:hAnsi="Times New Roman" w:cs="Times New Roman"/>
          <w:sz w:val="24"/>
          <w:szCs w:val="24"/>
        </w:rPr>
      </w:pPr>
      <w:bookmarkStart w:id="5" w:name="_Hlk19568008"/>
    </w:p>
    <w:bookmarkEnd w:id="5"/>
    <w:p w:rsidR="007227EE" w:rsidRPr="007227EE" w:rsidRDefault="007227EE" w:rsidP="007227EE">
      <w:pPr>
        <w:spacing w:after="0" w:line="480" w:lineRule="auto"/>
        <w:rPr>
          <w:rFonts w:ascii="Times New Roman" w:hAnsi="Times New Roman" w:cs="Times New Roman"/>
          <w:sz w:val="24"/>
          <w:szCs w:val="24"/>
        </w:rPr>
      </w:pPr>
    </w:p>
    <w:sectPr w:rsidR="007227EE" w:rsidRPr="007227EE" w:rsidSect="007227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C48" w:rsidRDefault="00AD3C48" w:rsidP="007227EE">
      <w:pPr>
        <w:spacing w:after="0" w:line="240" w:lineRule="auto"/>
      </w:pPr>
      <w:r>
        <w:separator/>
      </w:r>
    </w:p>
  </w:endnote>
  <w:endnote w:type="continuationSeparator" w:id="0">
    <w:p w:rsidR="00AD3C48" w:rsidRDefault="00AD3C48" w:rsidP="00722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C48" w:rsidRDefault="00AD3C48" w:rsidP="007227EE">
      <w:pPr>
        <w:spacing w:after="0" w:line="240" w:lineRule="auto"/>
      </w:pPr>
      <w:r>
        <w:separator/>
      </w:r>
    </w:p>
  </w:footnote>
  <w:footnote w:type="continuationSeparator" w:id="0">
    <w:p w:rsidR="00AD3C48" w:rsidRDefault="00AD3C48" w:rsidP="00722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7EE" w:rsidRPr="007227EE" w:rsidRDefault="007227EE" w:rsidP="007227EE">
    <w:pPr>
      <w:pStyle w:val="Header"/>
      <w:spacing w:line="480" w:lineRule="auto"/>
      <w:jc w:val="right"/>
      <w:rPr>
        <w:rFonts w:ascii="Times New Roman" w:hAnsi="Times New Roman" w:cs="Times New Roman"/>
        <w:sz w:val="24"/>
        <w:szCs w:val="24"/>
      </w:rPr>
    </w:pPr>
    <w:r w:rsidRPr="007227EE">
      <w:rPr>
        <w:rFonts w:ascii="Times New Roman" w:hAnsi="Times New Roman" w:cs="Times New Roman"/>
        <w:sz w:val="24"/>
        <w:szCs w:val="24"/>
      </w:rPr>
      <w:t xml:space="preserve">LAW AND ETHICS </w:t>
    </w:r>
    <w:r w:rsidRPr="007227EE">
      <w:rPr>
        <w:rFonts w:ascii="Times New Roman" w:hAnsi="Times New Roman" w:cs="Times New Roman"/>
        <w:sz w:val="24"/>
        <w:szCs w:val="24"/>
      </w:rPr>
      <w:tab/>
    </w:r>
    <w:r w:rsidRPr="007227EE">
      <w:rPr>
        <w:rFonts w:ascii="Times New Roman" w:hAnsi="Times New Roman" w:cs="Times New Roman"/>
        <w:sz w:val="24"/>
        <w:szCs w:val="24"/>
      </w:rPr>
      <w:tab/>
    </w:r>
    <w:sdt>
      <w:sdtPr>
        <w:rPr>
          <w:rFonts w:ascii="Times New Roman" w:hAnsi="Times New Roman" w:cs="Times New Roman"/>
          <w:sz w:val="24"/>
          <w:szCs w:val="24"/>
        </w:rPr>
        <w:id w:val="737802"/>
        <w:docPartObj>
          <w:docPartGallery w:val="Page Numbers (Top of Page)"/>
          <w:docPartUnique/>
        </w:docPartObj>
      </w:sdtPr>
      <w:sdtEndPr/>
      <w:sdtContent>
        <w:r w:rsidRPr="007227EE">
          <w:rPr>
            <w:rFonts w:ascii="Times New Roman" w:hAnsi="Times New Roman" w:cs="Times New Roman"/>
            <w:sz w:val="24"/>
            <w:szCs w:val="24"/>
          </w:rPr>
          <w:fldChar w:fldCharType="begin"/>
        </w:r>
        <w:r w:rsidRPr="007227EE">
          <w:rPr>
            <w:rFonts w:ascii="Times New Roman" w:hAnsi="Times New Roman" w:cs="Times New Roman"/>
            <w:sz w:val="24"/>
            <w:szCs w:val="24"/>
          </w:rPr>
          <w:instrText xml:space="preserve"> PAGE   \* MERGEFORMAT </w:instrText>
        </w:r>
        <w:r w:rsidRPr="007227EE">
          <w:rPr>
            <w:rFonts w:ascii="Times New Roman" w:hAnsi="Times New Roman" w:cs="Times New Roman"/>
            <w:sz w:val="24"/>
            <w:szCs w:val="24"/>
          </w:rPr>
          <w:fldChar w:fldCharType="separate"/>
        </w:r>
        <w:r w:rsidR="007827E9">
          <w:rPr>
            <w:rFonts w:ascii="Times New Roman" w:hAnsi="Times New Roman" w:cs="Times New Roman"/>
            <w:noProof/>
            <w:sz w:val="24"/>
            <w:szCs w:val="24"/>
          </w:rPr>
          <w:t>6</w:t>
        </w:r>
        <w:r w:rsidRPr="007227E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27EE" w:rsidRPr="007227EE" w:rsidRDefault="007227EE" w:rsidP="007227EE">
    <w:pPr>
      <w:pStyle w:val="Header"/>
      <w:spacing w:line="480" w:lineRule="auto"/>
      <w:jc w:val="right"/>
      <w:rPr>
        <w:rFonts w:ascii="Times New Roman" w:hAnsi="Times New Roman" w:cs="Times New Roman"/>
        <w:sz w:val="24"/>
        <w:szCs w:val="24"/>
      </w:rPr>
    </w:pPr>
    <w:r w:rsidRPr="007227EE">
      <w:rPr>
        <w:rFonts w:ascii="Times New Roman" w:hAnsi="Times New Roman" w:cs="Times New Roman"/>
        <w:sz w:val="24"/>
        <w:szCs w:val="24"/>
      </w:rPr>
      <w:t>Running Head: LAW AND ETHICS</w:t>
    </w:r>
    <w:r w:rsidRPr="007227EE">
      <w:rPr>
        <w:rFonts w:ascii="Times New Roman" w:hAnsi="Times New Roman" w:cs="Times New Roman"/>
        <w:sz w:val="24"/>
        <w:szCs w:val="24"/>
      </w:rPr>
      <w:tab/>
    </w:r>
    <w:r w:rsidRPr="007227EE">
      <w:rPr>
        <w:rFonts w:ascii="Times New Roman" w:hAnsi="Times New Roman" w:cs="Times New Roman"/>
        <w:sz w:val="24"/>
        <w:szCs w:val="24"/>
      </w:rPr>
      <w:tab/>
    </w:r>
    <w:sdt>
      <w:sdtPr>
        <w:rPr>
          <w:rFonts w:ascii="Times New Roman" w:hAnsi="Times New Roman" w:cs="Times New Roman"/>
          <w:sz w:val="24"/>
          <w:szCs w:val="24"/>
        </w:rPr>
        <w:id w:val="737751"/>
        <w:docPartObj>
          <w:docPartGallery w:val="Page Numbers (Top of Page)"/>
          <w:docPartUnique/>
        </w:docPartObj>
      </w:sdtPr>
      <w:sdtEndPr/>
      <w:sdtContent>
        <w:r w:rsidRPr="007227EE">
          <w:rPr>
            <w:rFonts w:ascii="Times New Roman" w:hAnsi="Times New Roman" w:cs="Times New Roman"/>
            <w:sz w:val="24"/>
            <w:szCs w:val="24"/>
          </w:rPr>
          <w:fldChar w:fldCharType="begin"/>
        </w:r>
        <w:r w:rsidRPr="007227EE">
          <w:rPr>
            <w:rFonts w:ascii="Times New Roman" w:hAnsi="Times New Roman" w:cs="Times New Roman"/>
            <w:sz w:val="24"/>
            <w:szCs w:val="24"/>
          </w:rPr>
          <w:instrText xml:space="preserve"> PAGE   \* MERGEFORMAT </w:instrText>
        </w:r>
        <w:r w:rsidRPr="007227EE">
          <w:rPr>
            <w:rFonts w:ascii="Times New Roman" w:hAnsi="Times New Roman" w:cs="Times New Roman"/>
            <w:sz w:val="24"/>
            <w:szCs w:val="24"/>
          </w:rPr>
          <w:fldChar w:fldCharType="separate"/>
        </w:r>
        <w:r w:rsidR="00AD3C48">
          <w:rPr>
            <w:rFonts w:ascii="Times New Roman" w:hAnsi="Times New Roman" w:cs="Times New Roman"/>
            <w:noProof/>
            <w:sz w:val="24"/>
            <w:szCs w:val="24"/>
          </w:rPr>
          <w:t>1</w:t>
        </w:r>
        <w:r w:rsidRPr="007227E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7227EE"/>
    <w:rsid w:val="00063BD5"/>
    <w:rsid w:val="001736EF"/>
    <w:rsid w:val="0023640E"/>
    <w:rsid w:val="003E1DD7"/>
    <w:rsid w:val="00552AEA"/>
    <w:rsid w:val="007227EE"/>
    <w:rsid w:val="007827E9"/>
    <w:rsid w:val="008E71C9"/>
    <w:rsid w:val="00AD3C48"/>
    <w:rsid w:val="00D30AFC"/>
    <w:rsid w:val="00E10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7EE"/>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7EE"/>
  </w:style>
  <w:style w:type="paragraph" w:styleId="Footer">
    <w:name w:val="footer"/>
    <w:basedOn w:val="Normal"/>
    <w:link w:val="FooterChar"/>
    <w:uiPriority w:val="99"/>
    <w:semiHidden/>
    <w:unhideWhenUsed/>
    <w:rsid w:val="007227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27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2019-09-17T01:18:00Z</dcterms:created>
  <dcterms:modified xsi:type="dcterms:W3CDTF">2019-09-17T01:18:00Z</dcterms:modified>
</cp:coreProperties>
</file>