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AF6585" w14:textId="77777777" w:rsidR="00D127AF" w:rsidRDefault="006C54F5" w:rsidP="00EC2CA3">
      <w:pPr>
        <w:spacing w:after="0" w:line="480" w:lineRule="auto"/>
        <w:contextualSpacing/>
        <w:rPr>
          <w:rFonts w:ascii="Times New Roman" w:hAnsi="Times New Roman" w:cs="Times New Roman"/>
          <w:sz w:val="24"/>
          <w:szCs w:val="24"/>
        </w:rPr>
      </w:pPr>
      <w:bookmarkStart w:id="0" w:name="_GoBack"/>
      <w:r w:rsidRPr="00D127AF">
        <w:rPr>
          <w:rFonts w:ascii="Times New Roman" w:hAnsi="Times New Roman" w:cs="Times New Roman"/>
          <w:sz w:val="24"/>
          <w:szCs w:val="24"/>
        </w:rPr>
        <w:t xml:space="preserve">Hafssa Yahya </w:t>
      </w:r>
    </w:p>
    <w:p w14:paraId="640EAA5C" w14:textId="77777777" w:rsidR="00D127AF" w:rsidRDefault="006C54F5" w:rsidP="00EC2CA3">
      <w:pPr>
        <w:spacing w:after="0" w:line="480" w:lineRule="auto"/>
        <w:contextualSpacing/>
        <w:rPr>
          <w:rFonts w:ascii="Times New Roman" w:hAnsi="Times New Roman" w:cs="Times New Roman"/>
          <w:sz w:val="24"/>
          <w:szCs w:val="24"/>
        </w:rPr>
      </w:pPr>
      <w:r w:rsidRPr="00D127AF">
        <w:rPr>
          <w:rFonts w:ascii="Times New Roman" w:hAnsi="Times New Roman" w:cs="Times New Roman"/>
          <w:sz w:val="24"/>
          <w:szCs w:val="24"/>
        </w:rPr>
        <w:t xml:space="preserve">McGraw Hill Education </w:t>
      </w:r>
    </w:p>
    <w:p w14:paraId="3054A9B1" w14:textId="15132C54" w:rsidR="00D127AF" w:rsidRDefault="006C54F5" w:rsidP="00EC2CA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L</w:t>
      </w:r>
      <w:r w:rsidRPr="00D127AF">
        <w:rPr>
          <w:rFonts w:ascii="Times New Roman" w:hAnsi="Times New Roman" w:cs="Times New Roman"/>
          <w:sz w:val="24"/>
          <w:szCs w:val="24"/>
        </w:rPr>
        <w:t xml:space="preserve">egal </w:t>
      </w:r>
      <w:r>
        <w:rPr>
          <w:rFonts w:ascii="Times New Roman" w:hAnsi="Times New Roman" w:cs="Times New Roman"/>
          <w:sz w:val="24"/>
          <w:szCs w:val="24"/>
        </w:rPr>
        <w:t>I</w:t>
      </w:r>
      <w:r w:rsidRPr="00D127AF">
        <w:rPr>
          <w:rFonts w:ascii="Times New Roman" w:hAnsi="Times New Roman" w:cs="Times New Roman"/>
          <w:sz w:val="24"/>
          <w:szCs w:val="24"/>
        </w:rPr>
        <w:t>ssues</w:t>
      </w:r>
    </w:p>
    <w:p w14:paraId="3E3740A7" w14:textId="1B98567A" w:rsidR="000914C0" w:rsidRDefault="006C54F5" w:rsidP="00EC2CA3">
      <w:pPr>
        <w:spacing w:after="0" w:line="480" w:lineRule="auto"/>
        <w:contextualSpacing/>
        <w:rPr>
          <w:rFonts w:ascii="Times New Roman" w:hAnsi="Times New Roman" w:cs="Times New Roman"/>
          <w:sz w:val="24"/>
          <w:szCs w:val="24"/>
        </w:rPr>
      </w:pPr>
      <w:r w:rsidRPr="00D127AF">
        <w:rPr>
          <w:rFonts w:ascii="Times New Roman" w:hAnsi="Times New Roman" w:cs="Times New Roman"/>
          <w:sz w:val="24"/>
          <w:szCs w:val="24"/>
        </w:rPr>
        <w:t>17th October 2019</w:t>
      </w:r>
    </w:p>
    <w:p w14:paraId="3E3A567E" w14:textId="6685E7A7" w:rsidR="00D127AF" w:rsidRPr="00D127AF" w:rsidRDefault="006C54F5" w:rsidP="00EC2CA3">
      <w:pPr>
        <w:spacing w:after="0" w:line="480" w:lineRule="auto"/>
        <w:contextualSpacing/>
        <w:jc w:val="center"/>
        <w:rPr>
          <w:rFonts w:ascii="Times New Roman" w:hAnsi="Times New Roman" w:cs="Times New Roman"/>
          <w:b/>
          <w:bCs/>
          <w:sz w:val="24"/>
          <w:szCs w:val="24"/>
        </w:rPr>
      </w:pPr>
      <w:r w:rsidRPr="00D127AF">
        <w:rPr>
          <w:rFonts w:ascii="Times New Roman" w:hAnsi="Times New Roman" w:cs="Times New Roman"/>
          <w:b/>
          <w:bCs/>
          <w:sz w:val="24"/>
          <w:szCs w:val="24"/>
        </w:rPr>
        <w:t>Legal Issues</w:t>
      </w:r>
    </w:p>
    <w:p w14:paraId="573BD360" w14:textId="2D35ED40" w:rsidR="00D127AF" w:rsidRDefault="006C54F5" w:rsidP="00EC2CA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465AF9">
        <w:rPr>
          <w:rFonts w:ascii="Times New Roman" w:hAnsi="Times New Roman" w:cs="Times New Roman"/>
          <w:sz w:val="24"/>
          <w:szCs w:val="24"/>
        </w:rPr>
        <w:t>Rationally it will be ethically wrong to disclose the health status of a patient. The legal recommendation is to keep the medical status professional between the physician and the patient. However, there are exceptions solely allowed to improve the healthy course of the patient, family</w:t>
      </w:r>
      <w:r w:rsidR="00E24BDF">
        <w:rPr>
          <w:rFonts w:ascii="Times New Roman" w:hAnsi="Times New Roman" w:cs="Times New Roman"/>
          <w:sz w:val="24"/>
          <w:szCs w:val="24"/>
        </w:rPr>
        <w:t xml:space="preserve"> involved</w:t>
      </w:r>
      <w:r w:rsidR="00465AF9">
        <w:rPr>
          <w:rFonts w:ascii="Times New Roman" w:hAnsi="Times New Roman" w:cs="Times New Roman"/>
          <w:sz w:val="24"/>
          <w:szCs w:val="24"/>
        </w:rPr>
        <w:t xml:space="preserve"> or medical </w:t>
      </w:r>
      <w:r w:rsidR="00E24BDF">
        <w:rPr>
          <w:rFonts w:ascii="Times New Roman" w:hAnsi="Times New Roman" w:cs="Times New Roman"/>
          <w:sz w:val="24"/>
          <w:szCs w:val="24"/>
        </w:rPr>
        <w:t xml:space="preserve">practitioner’s engagement; generally, </w:t>
      </w:r>
      <w:r w:rsidR="00E56BF9">
        <w:rPr>
          <w:rFonts w:ascii="Times New Roman" w:hAnsi="Times New Roman" w:cs="Times New Roman"/>
          <w:sz w:val="24"/>
          <w:szCs w:val="24"/>
        </w:rPr>
        <w:t>what is best for</w:t>
      </w:r>
      <w:r w:rsidR="00E24BDF">
        <w:rPr>
          <w:rFonts w:ascii="Times New Roman" w:hAnsi="Times New Roman" w:cs="Times New Roman"/>
          <w:sz w:val="24"/>
          <w:szCs w:val="24"/>
        </w:rPr>
        <w:t xml:space="preserve"> </w:t>
      </w:r>
      <w:r w:rsidR="00E56BF9">
        <w:rPr>
          <w:rFonts w:ascii="Times New Roman" w:hAnsi="Times New Roman" w:cs="Times New Roman"/>
          <w:sz w:val="24"/>
          <w:szCs w:val="24"/>
        </w:rPr>
        <w:t>a healthy nation</w:t>
      </w:r>
      <w:r w:rsidR="00E24BDF">
        <w:rPr>
          <w:rFonts w:ascii="Times New Roman" w:hAnsi="Times New Roman" w:cs="Times New Roman"/>
          <w:sz w:val="24"/>
          <w:szCs w:val="24"/>
        </w:rPr>
        <w:t>,</w:t>
      </w:r>
      <w:r w:rsidR="00E56BF9">
        <w:rPr>
          <w:rFonts w:ascii="Times New Roman" w:hAnsi="Times New Roman" w:cs="Times New Roman"/>
          <w:sz w:val="24"/>
          <w:szCs w:val="24"/>
        </w:rPr>
        <w:t xml:space="preserve"> </w:t>
      </w:r>
      <w:r w:rsidR="00E24BDF">
        <w:rPr>
          <w:rFonts w:ascii="Times New Roman" w:hAnsi="Times New Roman" w:cs="Times New Roman"/>
          <w:sz w:val="24"/>
          <w:szCs w:val="24"/>
        </w:rPr>
        <w:t>(Nicholas, 258).</w:t>
      </w:r>
    </w:p>
    <w:p w14:paraId="47B83937" w14:textId="77777777" w:rsidR="00E56BF9" w:rsidRDefault="006C54F5" w:rsidP="00EC2CA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our case study, the patient </w:t>
      </w:r>
      <w:r w:rsidR="00D45517">
        <w:rPr>
          <w:rFonts w:ascii="Times New Roman" w:hAnsi="Times New Roman" w:cs="Times New Roman"/>
          <w:sz w:val="24"/>
          <w:szCs w:val="24"/>
        </w:rPr>
        <w:t>has</w:t>
      </w:r>
      <w:r>
        <w:rPr>
          <w:rFonts w:ascii="Times New Roman" w:hAnsi="Times New Roman" w:cs="Times New Roman"/>
          <w:sz w:val="24"/>
          <w:szCs w:val="24"/>
        </w:rPr>
        <w:t xml:space="preserve"> </w:t>
      </w:r>
      <w:r w:rsidRPr="00E24BDF">
        <w:rPr>
          <w:rFonts w:ascii="Times New Roman" w:hAnsi="Times New Roman" w:cs="Times New Roman"/>
          <w:sz w:val="24"/>
          <w:szCs w:val="24"/>
        </w:rPr>
        <w:t>hematuria</w:t>
      </w:r>
      <w:r>
        <w:rPr>
          <w:rFonts w:ascii="Times New Roman" w:hAnsi="Times New Roman" w:cs="Times New Roman"/>
          <w:sz w:val="24"/>
          <w:szCs w:val="24"/>
        </w:rPr>
        <w:t>; the presence of blood in the urine.</w:t>
      </w:r>
      <w:r w:rsidR="00D45517">
        <w:rPr>
          <w:rFonts w:ascii="Times New Roman" w:hAnsi="Times New Roman" w:cs="Times New Roman"/>
          <w:sz w:val="24"/>
          <w:szCs w:val="24"/>
        </w:rPr>
        <w:t xml:space="preserve"> The condition occurs when parts of the urinary tract or the kidney lick blood cells into the urine. The leakage can be caused by kidney infections or urinary tract infections, (Mayo Clinic 3).  </w:t>
      </w:r>
    </w:p>
    <w:p w14:paraId="14642663" w14:textId="08DB6860" w:rsidR="00E24BDF" w:rsidRDefault="006C54F5" w:rsidP="00EC2CA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physician having narrowed down to </w:t>
      </w:r>
      <w:r w:rsidRPr="00D45517">
        <w:rPr>
          <w:rFonts w:ascii="Times New Roman" w:hAnsi="Times New Roman" w:cs="Times New Roman"/>
          <w:sz w:val="24"/>
          <w:szCs w:val="24"/>
        </w:rPr>
        <w:t>chlamydia</w:t>
      </w:r>
      <w:r>
        <w:rPr>
          <w:rFonts w:ascii="Times New Roman" w:hAnsi="Times New Roman" w:cs="Times New Roman"/>
          <w:sz w:val="24"/>
          <w:szCs w:val="24"/>
        </w:rPr>
        <w:t>, is a clear indication that any sexual interactions from the patient, is a risk. Having admitted to having multiple sexual partners, it is ideal to have all parties engaged for treatment regardless of the p</w:t>
      </w:r>
      <w:r w:rsidR="00A95407">
        <w:rPr>
          <w:rFonts w:ascii="Times New Roman" w:hAnsi="Times New Roman" w:cs="Times New Roman"/>
          <w:sz w:val="24"/>
          <w:szCs w:val="24"/>
        </w:rPr>
        <w:t>sychological</w:t>
      </w:r>
      <w:r>
        <w:rPr>
          <w:rFonts w:ascii="Times New Roman" w:hAnsi="Times New Roman" w:cs="Times New Roman"/>
          <w:sz w:val="24"/>
          <w:szCs w:val="24"/>
        </w:rPr>
        <w:t xml:space="preserve"> effect</w:t>
      </w:r>
      <w:r w:rsidR="00E56BF9">
        <w:rPr>
          <w:rFonts w:ascii="Times New Roman" w:hAnsi="Times New Roman" w:cs="Times New Roman"/>
          <w:sz w:val="24"/>
          <w:szCs w:val="24"/>
        </w:rPr>
        <w:t>s</w:t>
      </w:r>
      <w:r>
        <w:rPr>
          <w:rFonts w:ascii="Times New Roman" w:hAnsi="Times New Roman" w:cs="Times New Roman"/>
          <w:sz w:val="24"/>
          <w:szCs w:val="24"/>
        </w:rPr>
        <w:t>.</w:t>
      </w:r>
    </w:p>
    <w:p w14:paraId="728B3C13" w14:textId="62B43B70" w:rsidR="00E56BF9" w:rsidRDefault="006C54F5" w:rsidP="00EC2CA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95407">
        <w:rPr>
          <w:rFonts w:ascii="Times New Roman" w:hAnsi="Times New Roman" w:cs="Times New Roman"/>
          <w:sz w:val="24"/>
          <w:szCs w:val="24"/>
        </w:rPr>
        <w:t>If the patient is in a position to negotiate the approach, it is upon the physician to respect the decision but still, recommend for the wife to come in for a test. And since the physician serves the health status of the wife too, the situation is medically wrong to ignore</w:t>
      </w:r>
      <w:r>
        <w:rPr>
          <w:rFonts w:ascii="Times New Roman" w:hAnsi="Times New Roman" w:cs="Times New Roman"/>
          <w:sz w:val="24"/>
          <w:szCs w:val="24"/>
        </w:rPr>
        <w:t xml:space="preserve"> and treat it as an exception.</w:t>
      </w:r>
      <w:r w:rsidR="00A95407">
        <w:rPr>
          <w:rFonts w:ascii="Times New Roman" w:hAnsi="Times New Roman" w:cs="Times New Roman"/>
          <w:sz w:val="24"/>
          <w:szCs w:val="24"/>
        </w:rPr>
        <w:t xml:space="preserve"> </w:t>
      </w:r>
    </w:p>
    <w:p w14:paraId="36F4FD39" w14:textId="56601374" w:rsidR="00E56BF9" w:rsidRDefault="006C54F5" w:rsidP="00EC2CA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psychological effects upon confession cannot be ignored. </w:t>
      </w:r>
      <w:r w:rsidR="002A5ACC">
        <w:rPr>
          <w:rFonts w:ascii="Times New Roman" w:hAnsi="Times New Roman" w:cs="Times New Roman"/>
          <w:sz w:val="24"/>
          <w:szCs w:val="24"/>
        </w:rPr>
        <w:t>Personally, as a physician</w:t>
      </w:r>
      <w:r>
        <w:rPr>
          <w:rFonts w:ascii="Times New Roman" w:hAnsi="Times New Roman" w:cs="Times New Roman"/>
          <w:sz w:val="24"/>
          <w:szCs w:val="24"/>
        </w:rPr>
        <w:t xml:space="preserve">, the two should be available for the next appointment supported by counseling procedures. The purpose of such a support system is to instill the importance of health over everything else. Such </w:t>
      </w:r>
      <w:r>
        <w:rPr>
          <w:rFonts w:ascii="Times New Roman" w:hAnsi="Times New Roman" w:cs="Times New Roman"/>
          <w:sz w:val="24"/>
          <w:szCs w:val="24"/>
        </w:rPr>
        <w:lastRenderedPageBreak/>
        <w:t xml:space="preserve">a procedure in line with the </w:t>
      </w:r>
      <w:r w:rsidRPr="00E56BF9">
        <w:rPr>
          <w:rFonts w:ascii="Times New Roman" w:hAnsi="Times New Roman" w:cs="Times New Roman"/>
          <w:sz w:val="24"/>
          <w:szCs w:val="24"/>
        </w:rPr>
        <w:t>General Medical Council (GMC) guidance on</w:t>
      </w:r>
      <w:r>
        <w:rPr>
          <w:rFonts w:ascii="Times New Roman" w:hAnsi="Times New Roman" w:cs="Times New Roman"/>
          <w:sz w:val="24"/>
          <w:szCs w:val="24"/>
        </w:rPr>
        <w:t xml:space="preserve"> </w:t>
      </w:r>
      <w:r w:rsidRPr="00E56BF9">
        <w:rPr>
          <w:rFonts w:ascii="Times New Roman" w:hAnsi="Times New Roman" w:cs="Times New Roman"/>
          <w:sz w:val="24"/>
          <w:szCs w:val="24"/>
        </w:rPr>
        <w:t>patient confidentiality</w:t>
      </w:r>
      <w:r>
        <w:rPr>
          <w:rFonts w:ascii="Times New Roman" w:hAnsi="Times New Roman" w:cs="Times New Roman"/>
          <w:sz w:val="24"/>
          <w:szCs w:val="24"/>
        </w:rPr>
        <w:t>, (Nicholas 260)</w:t>
      </w:r>
      <w:r w:rsidR="002A5ACC">
        <w:rPr>
          <w:rFonts w:ascii="Times New Roman" w:hAnsi="Times New Roman" w:cs="Times New Roman"/>
          <w:sz w:val="24"/>
          <w:szCs w:val="24"/>
        </w:rPr>
        <w:t>.</w:t>
      </w:r>
    </w:p>
    <w:p w14:paraId="396059BA" w14:textId="77777777" w:rsidR="002A5ACC" w:rsidRDefault="002A5ACC" w:rsidP="00EC2CA3">
      <w:pPr>
        <w:spacing w:after="0" w:line="480" w:lineRule="auto"/>
        <w:contextualSpacing/>
        <w:jc w:val="center"/>
        <w:rPr>
          <w:rFonts w:ascii="Times New Roman" w:hAnsi="Times New Roman" w:cs="Times New Roman"/>
          <w:sz w:val="24"/>
          <w:szCs w:val="24"/>
        </w:rPr>
      </w:pPr>
    </w:p>
    <w:p w14:paraId="402C2CE3" w14:textId="6C2F7DAF" w:rsidR="002A5ACC" w:rsidRDefault="002A5ACC" w:rsidP="00EC2CA3">
      <w:pPr>
        <w:spacing w:after="0" w:line="480" w:lineRule="auto"/>
        <w:contextualSpacing/>
        <w:rPr>
          <w:rFonts w:ascii="Times New Roman" w:hAnsi="Times New Roman" w:cs="Times New Roman"/>
          <w:sz w:val="24"/>
          <w:szCs w:val="24"/>
        </w:rPr>
      </w:pPr>
    </w:p>
    <w:p w14:paraId="42467F21" w14:textId="77777777" w:rsidR="002A5ACC" w:rsidRDefault="006C54F5" w:rsidP="00EC2CA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7492DD4A" w14:textId="79C2D3DB" w:rsidR="00E56BF9" w:rsidRDefault="006C54F5" w:rsidP="00EC2CA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3242D9D0" w14:textId="45BF3F05" w:rsidR="00E56BF9" w:rsidRDefault="006C54F5" w:rsidP="00EC2CA3">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Nicholas, N. </w:t>
      </w:r>
      <w:r w:rsidRPr="00E56BF9">
        <w:rPr>
          <w:rFonts w:ascii="Times New Roman" w:hAnsi="Times New Roman" w:cs="Times New Roman"/>
          <w:sz w:val="24"/>
          <w:szCs w:val="24"/>
        </w:rPr>
        <w:t>Risk Management</w:t>
      </w:r>
      <w:r>
        <w:rPr>
          <w:rFonts w:ascii="Times New Roman" w:hAnsi="Times New Roman" w:cs="Times New Roman"/>
          <w:sz w:val="24"/>
          <w:szCs w:val="24"/>
        </w:rPr>
        <w:t xml:space="preserve"> </w:t>
      </w:r>
      <w:r w:rsidRPr="00E56BF9">
        <w:rPr>
          <w:rFonts w:ascii="Times New Roman" w:hAnsi="Times New Roman" w:cs="Times New Roman"/>
          <w:sz w:val="24"/>
          <w:szCs w:val="24"/>
        </w:rPr>
        <w:t>Confidentiality, Disclosure and</w:t>
      </w:r>
      <w:r>
        <w:rPr>
          <w:rFonts w:ascii="Times New Roman" w:hAnsi="Times New Roman" w:cs="Times New Roman"/>
          <w:sz w:val="24"/>
          <w:szCs w:val="24"/>
        </w:rPr>
        <w:t xml:space="preserve"> </w:t>
      </w:r>
      <w:r w:rsidRPr="00E56BF9">
        <w:rPr>
          <w:rFonts w:ascii="Times New Roman" w:hAnsi="Times New Roman" w:cs="Times New Roman"/>
          <w:sz w:val="24"/>
          <w:szCs w:val="24"/>
        </w:rPr>
        <w:t>Access to Medical Records</w:t>
      </w:r>
      <w:r>
        <w:rPr>
          <w:rFonts w:ascii="Times New Roman" w:hAnsi="Times New Roman" w:cs="Times New Roman"/>
          <w:sz w:val="24"/>
          <w:szCs w:val="24"/>
        </w:rPr>
        <w:t xml:space="preserve">. </w:t>
      </w:r>
      <w:r w:rsidRPr="00E56BF9">
        <w:rPr>
          <w:rFonts w:ascii="Times New Roman" w:hAnsi="Times New Roman" w:cs="Times New Roman"/>
          <w:i/>
          <w:iCs/>
          <w:sz w:val="24"/>
          <w:szCs w:val="24"/>
        </w:rPr>
        <w:t>The Obstetrician &amp; Gynecologist</w:t>
      </w:r>
      <w:r>
        <w:rPr>
          <w:rFonts w:ascii="Times New Roman" w:hAnsi="Times New Roman" w:cs="Times New Roman"/>
          <w:sz w:val="24"/>
          <w:szCs w:val="24"/>
        </w:rPr>
        <w:t xml:space="preserve">. 2007. </w:t>
      </w:r>
      <w:hyperlink r:id="rId7" w:history="1">
        <w:r w:rsidRPr="00AA36BD">
          <w:rPr>
            <w:rStyle w:val="Hyperlink"/>
            <w:rFonts w:ascii="Times New Roman" w:hAnsi="Times New Roman" w:cs="Times New Roman"/>
            <w:sz w:val="24"/>
            <w:szCs w:val="24"/>
          </w:rPr>
          <w:t>https://obgyn.onlinelibrary.wiley.com/doi/pdf/10.1576/toag.9.4.257.27356</w:t>
        </w:r>
      </w:hyperlink>
    </w:p>
    <w:p w14:paraId="54E179E2" w14:textId="0F6569E3" w:rsidR="002A5ACC" w:rsidRDefault="006C54F5" w:rsidP="00EC2CA3">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Mayo Clinic. </w:t>
      </w:r>
      <w:r w:rsidRPr="002A5ACC">
        <w:rPr>
          <w:rFonts w:ascii="Times New Roman" w:hAnsi="Times New Roman" w:cs="Times New Roman"/>
          <w:sz w:val="24"/>
          <w:szCs w:val="24"/>
        </w:rPr>
        <w:t>Blood in Urine (Hematuria)</w:t>
      </w:r>
      <w:r>
        <w:rPr>
          <w:rFonts w:ascii="Times New Roman" w:hAnsi="Times New Roman" w:cs="Times New Roman"/>
          <w:sz w:val="24"/>
          <w:szCs w:val="24"/>
        </w:rPr>
        <w:t>. Causes. 2019. Retrieved from;</w:t>
      </w:r>
      <w:r w:rsidRPr="002A5ACC">
        <w:t xml:space="preserve"> </w:t>
      </w:r>
      <w:hyperlink r:id="rId8" w:history="1">
        <w:r w:rsidRPr="00AA36BD">
          <w:rPr>
            <w:rStyle w:val="Hyperlink"/>
            <w:rFonts w:ascii="Times New Roman" w:hAnsi="Times New Roman" w:cs="Times New Roman"/>
            <w:sz w:val="24"/>
            <w:szCs w:val="24"/>
          </w:rPr>
          <w:t>https://www.mayoclinic.org/diseases-conditions/blood-in-urine/symptoms-causes/syc-20353432</w:t>
        </w:r>
      </w:hyperlink>
    </w:p>
    <w:bookmarkEnd w:id="0"/>
    <w:p w14:paraId="59C84B7B" w14:textId="77777777" w:rsidR="002A5ACC" w:rsidRPr="00D127AF" w:rsidRDefault="002A5ACC" w:rsidP="00EC2CA3">
      <w:pPr>
        <w:spacing w:after="0" w:line="480" w:lineRule="auto"/>
        <w:ind w:left="720" w:hanging="720"/>
        <w:contextualSpacing/>
        <w:rPr>
          <w:rFonts w:ascii="Times New Roman" w:hAnsi="Times New Roman" w:cs="Times New Roman"/>
          <w:sz w:val="24"/>
          <w:szCs w:val="24"/>
        </w:rPr>
      </w:pPr>
    </w:p>
    <w:sectPr w:rsidR="002A5ACC" w:rsidRPr="00D127A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03FA7F" w14:textId="77777777" w:rsidR="0096320D" w:rsidRDefault="0096320D">
      <w:pPr>
        <w:spacing w:after="0" w:line="240" w:lineRule="auto"/>
      </w:pPr>
      <w:r>
        <w:separator/>
      </w:r>
    </w:p>
  </w:endnote>
  <w:endnote w:type="continuationSeparator" w:id="0">
    <w:p w14:paraId="350356CB" w14:textId="77777777" w:rsidR="0096320D" w:rsidRDefault="00963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CC2F53" w14:textId="77777777" w:rsidR="0096320D" w:rsidRDefault="0096320D">
      <w:pPr>
        <w:spacing w:after="0" w:line="240" w:lineRule="auto"/>
      </w:pPr>
      <w:r>
        <w:separator/>
      </w:r>
    </w:p>
  </w:footnote>
  <w:footnote w:type="continuationSeparator" w:id="0">
    <w:p w14:paraId="7102A505" w14:textId="77777777" w:rsidR="0096320D" w:rsidRDefault="00963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E06CD3" w14:textId="18357BDB" w:rsidR="00D127AF" w:rsidRPr="00D127AF" w:rsidRDefault="006C54F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127AF">
      <w:rPr>
        <w:rFonts w:ascii="Times New Roman" w:hAnsi="Times New Roman" w:cs="Times New Roman"/>
        <w:sz w:val="24"/>
        <w:szCs w:val="24"/>
      </w:rPr>
      <w:t>Hafssa Yahya</w:t>
    </w:r>
    <w:r>
      <w:rPr>
        <w:rFonts w:ascii="Times New Roman" w:hAnsi="Times New Roman" w:cs="Times New Roman"/>
        <w:sz w:val="24"/>
        <w:szCs w:val="24"/>
      </w:rPr>
      <w:t xml:space="preserve"> </w:t>
    </w:r>
    <w:r w:rsidRPr="00D127AF">
      <w:rPr>
        <w:rFonts w:ascii="Times New Roman" w:hAnsi="Times New Roman" w:cs="Times New Roman"/>
        <w:sz w:val="24"/>
        <w:szCs w:val="24"/>
      </w:rPr>
      <w:fldChar w:fldCharType="begin"/>
    </w:r>
    <w:r w:rsidRPr="00D127AF">
      <w:rPr>
        <w:rFonts w:ascii="Times New Roman" w:hAnsi="Times New Roman" w:cs="Times New Roman"/>
        <w:sz w:val="24"/>
        <w:szCs w:val="24"/>
      </w:rPr>
      <w:instrText xml:space="preserve"> PAGE   \* MERGEFORMAT </w:instrText>
    </w:r>
    <w:r w:rsidRPr="00D127AF">
      <w:rPr>
        <w:rFonts w:ascii="Times New Roman" w:hAnsi="Times New Roman" w:cs="Times New Roman"/>
        <w:sz w:val="24"/>
        <w:szCs w:val="24"/>
      </w:rPr>
      <w:fldChar w:fldCharType="separate"/>
    </w:r>
    <w:r w:rsidR="00EC2CA3">
      <w:rPr>
        <w:rFonts w:ascii="Times New Roman" w:hAnsi="Times New Roman" w:cs="Times New Roman"/>
        <w:noProof/>
        <w:sz w:val="24"/>
        <w:szCs w:val="24"/>
      </w:rPr>
      <w:t>1</w:t>
    </w:r>
    <w:r w:rsidRPr="00D127A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4C0"/>
    <w:rsid w:val="000914C0"/>
    <w:rsid w:val="002A5ACC"/>
    <w:rsid w:val="00465AF9"/>
    <w:rsid w:val="006C54F5"/>
    <w:rsid w:val="0096320D"/>
    <w:rsid w:val="00A95407"/>
    <w:rsid w:val="00AA36BD"/>
    <w:rsid w:val="00D127AF"/>
    <w:rsid w:val="00D45517"/>
    <w:rsid w:val="00DF42CC"/>
    <w:rsid w:val="00E24BDF"/>
    <w:rsid w:val="00E56BF9"/>
    <w:rsid w:val="00E97EF4"/>
    <w:rsid w:val="00EC2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7AF"/>
  </w:style>
  <w:style w:type="paragraph" w:styleId="Footer">
    <w:name w:val="footer"/>
    <w:basedOn w:val="Normal"/>
    <w:link w:val="FooterChar"/>
    <w:uiPriority w:val="99"/>
    <w:unhideWhenUsed/>
    <w:rsid w:val="00D127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7AF"/>
  </w:style>
  <w:style w:type="character" w:styleId="Hyperlink">
    <w:name w:val="Hyperlink"/>
    <w:basedOn w:val="DefaultParagraphFont"/>
    <w:uiPriority w:val="99"/>
    <w:unhideWhenUsed/>
    <w:rsid w:val="00E56BF9"/>
    <w:rPr>
      <w:color w:val="0563C1" w:themeColor="hyperlink"/>
      <w:u w:val="single"/>
    </w:rPr>
  </w:style>
  <w:style w:type="character" w:customStyle="1" w:styleId="UnresolvedMention1">
    <w:name w:val="Unresolved Mention1"/>
    <w:basedOn w:val="DefaultParagraphFont"/>
    <w:uiPriority w:val="99"/>
    <w:semiHidden/>
    <w:unhideWhenUsed/>
    <w:rsid w:val="00E56BF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7AF"/>
  </w:style>
  <w:style w:type="paragraph" w:styleId="Footer">
    <w:name w:val="footer"/>
    <w:basedOn w:val="Normal"/>
    <w:link w:val="FooterChar"/>
    <w:uiPriority w:val="99"/>
    <w:unhideWhenUsed/>
    <w:rsid w:val="00D127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7AF"/>
  </w:style>
  <w:style w:type="character" w:styleId="Hyperlink">
    <w:name w:val="Hyperlink"/>
    <w:basedOn w:val="DefaultParagraphFont"/>
    <w:uiPriority w:val="99"/>
    <w:unhideWhenUsed/>
    <w:rsid w:val="00E56BF9"/>
    <w:rPr>
      <w:color w:val="0563C1" w:themeColor="hyperlink"/>
      <w:u w:val="single"/>
    </w:rPr>
  </w:style>
  <w:style w:type="character" w:customStyle="1" w:styleId="UnresolvedMention1">
    <w:name w:val="Unresolved Mention1"/>
    <w:basedOn w:val="DefaultParagraphFont"/>
    <w:uiPriority w:val="99"/>
    <w:semiHidden/>
    <w:unhideWhenUsed/>
    <w:rsid w:val="00E56B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oclinic.org/diseases-conditions/blood-in-urine/symptoms-causes/syc-20353432" TargetMode="External"/><Relationship Id="rId3" Type="http://schemas.openxmlformats.org/officeDocument/2006/relationships/settings" Target="settings.xml"/><Relationship Id="rId7" Type="http://schemas.openxmlformats.org/officeDocument/2006/relationships/hyperlink" Target="https://obgyn.onlinelibrary.wiley.com/doi/pdf/10.1576/toag.9.4.257.2735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2019-10-18T01:42:00Z</dcterms:created>
  <dcterms:modified xsi:type="dcterms:W3CDTF">2019-10-18T01:42:00Z</dcterms:modified>
</cp:coreProperties>
</file>