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B0B" w:rsidRDefault="00585B0B" w:rsidP="00585B0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Abstract</w:t>
      </w:r>
    </w:p>
    <w:p w:rsidR="00585B0B" w:rsidRDefault="00585B0B" w:rsidP="00585B0B">
      <w:pPr>
        <w:spacing w:line="480" w:lineRule="auto"/>
        <w:contextualSpacing/>
        <w:rPr>
          <w:rFonts w:ascii="Times New Roman" w:hAnsi="Times New Roman" w:cs="Times New Roman"/>
          <w:sz w:val="24"/>
          <w:szCs w:val="24"/>
        </w:rPr>
      </w:pPr>
    </w:p>
    <w:p w:rsid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 Causal agents: These leishmaniases are induced by 20-odd Leishmania varieties, protozoa transmitted by the taste of sandflies (genus Phlebotomus in the past earth and Lutzomyia at this New). Some 30 varieties of sandflies are established vectors; these common supply hosts include man and domestic and/or wild creatures. Â primary modes of communication: The female sandflies turn into tainted by eating from reservoir hosts. Most varieties are zoonotic, humans being infected only secondarily, but at anthroponotic forms someone is considered to be the single tank. Phase period changes (2 to 6 months, ranging from 10 days to ages). The example of visceral leishmaniasis (VL) is the person showing objective signs (sustained abnormal symptom, splenomegaly and weight loss) with serological (in peripheral geographic point) and/or (when feasible at central level) parasitological confirmation of the diagnosis. At indigenous malarious countries, intuitive leishmaniasis must remain suspected when fever lasts for more than 2 weeks and no reaction has been reached with anti-malarial drugs (taking drug-resistant malaria gets also been considered) .</w:t>
      </w:r>
    </w:p>
    <w:p w:rsidR="00585B0B" w:rsidRDefault="00585B0B" w:rsidP="00585B0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Key words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Introduction of Leishmaniasis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Leishmania /liːʃˈmeɪniə/ is the genus of trypanosomes that are in charge of this illness leishmaniasis. They are distributed by sandflies of the genus Phlebotomus in this past earth, and of this genus Lutzomyia in this new earth. At least 93 sandfly varieties represent established or likely vectors worldwide. Their main servers represent vertebrates; Leishmania usually infects </w:t>
      </w:r>
      <w:r w:rsidRPr="00585B0B">
        <w:rPr>
          <w:rFonts w:ascii="Times New Roman" w:hAnsi="Times New Roman" w:cs="Times New Roman"/>
          <w:sz w:val="24"/>
          <w:szCs w:val="24"/>
        </w:rPr>
        <w:lastRenderedPageBreak/>
        <w:t>hyraxes, canids, rodents, and humans. This initial handwritten relation to the prominent symptoms of cutaneous leishmaniasis surfaced at this Paleotropics within eastern texts dating back to the seventh century BC (allegedly transcribed from origins some hundred years older, between 1500 and 2000 BC) . Because of its extensive and continual prevalence throughout antiquity as the secret illness of various diagnostic effects, leishmaniasis has been dubbed with several names ranging from `` white leprosy '' to `` black fever ''. Some of these names indicate connections to bad social beliefs or mythology, which even feed into the cultural stigmatization of leishmaniasis present.</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Leishmaniasis-Although not usually understood, Leishmaniasis is the set of diseases caused by organism of the genus Leishmania, which is endemic in 88 nations and contributes to considerable incidence and mortality. The contagious disease happens from a taste of Phlebotominae sand flies, and may cause problems to both internal organs and the surface. Although mainly involving those at the tropics, it is growing into more dominant in Southern Europe. This WHO discovers that more than 1.3 million current cases are reported every year. Clements Worldwide provides 24/7 tropical illness specialists on request, including more than 200 recognized international experts at rabies, diarrhoea, and vaccinations, plus specialists at more than 575 travelling clinics. That is all part of Clements worldwide’s portable world health policy with versatile medical benefits at more than 170 nations.</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infection of leishmania</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lastRenderedPageBreak/>
        <w:t>Visceral leishmaniasis (VL) or kala-azar is the vector-borne parasitic illness induced by Leishmania donovani, which is communicated from person to person by the soil wing Phlebotomus argentipes. Of these 200,000 to 400,000 current causes of VL worldwide, more than 90 percent come at six nations: India, Bangladesh, Sudan, South Sudan, Ethiopia and Brazil. The probability of seroconversion and illness cost significantly increased in people aged 14–24 years older. Higher economic status was associated with the reduced risk of seroconversion. In the American part, the calculated yearly frequency of VL is 4500 to 6800 causes; of these, 4200 to 6500 instances (&gt; 95 percent) happened in Brazil alone.</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Transmission with Leishmania parasites results at the variety of clinical manifestations and results, the most serious of which is visceral leishmaniasis (VL ). Vaccination would probably offer the most efficient long-term control strategy, as the great number of vectors and possible infectious reservoirs renders sustained disruption of Leishmania parasite communication extremely difficult. Choice of the greatest vaccine is complex because, although some vaccine antigen candidates have been suggested, they have emerged following industry in various platforms. To strengthen this data that has been rendered into the single vaccine structure, we expressed seven candidates as recombinant proteins at E. Coli. After verifying that each recombinant protein would be recognised by VL patients, we measured their preventive effectiveness against research L. Donovani transmission of mice. Government in preparation with the Th1-potentiating adjuvant GLA-SE suggested that each antigen would evoke antigen-specific Th1 reactions that were protective. Regarding this power to reduce parasite burden along with more elements , e.g., sequence recognition across Leishmania species, we then generated the chimeric fusion protein containing the combination of the 8E, p21 and SMT proteins.</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lastRenderedPageBreak/>
        <w:t>Epidemiology and Risk Factors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The “ risk factor ” is the epidemiological idea that was intended to help in the prevention of the contagious disease or to slow down the spread of disease. Medicine does not give in cause and effect as very much like at patterns in information. The early contemporary epidemiological survey was created in the nineteenth century by the man named Dr. John Snow, who essentially figured out that the origin of the cholera epidemic was the contaminated water pump in London. Through demonstrating the patterns of these incidences of the illness he convinced the governments that they should move down the food pump on Broad Street. It went.</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Leishmania leeches are transmitted through these bites of contaminated female phlebotomine sandflies, which eat on people to make eggs. The medicine of leishmaniasis depends on the features of the organism and sandfly varieties, the local environment features of the communication sites, new and last influence of the human population to the parasite, and human behaviour. Some 70 animal varieties, including humans, have been seen as raw reservoir servers of Leishmania leeches. The medicine of cutaneous leishmaniasis in the U.S. Is very complicated, with fluctuations in communication cycles, supply servers, sandfly vectors, objective expressions and reaction to therapy, and multiple circulating Leishmania species in the same geographical area. Brazil constitutes over 90 percent of the VL cases in the area.</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Current treatment and recent advances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lastRenderedPageBreak/>
        <w:t>Treatment of leishmaniasis depends on this form of the illness. These surface sores of cutaneous leishmaniasis usually help by themselves, yet without care. The best way to keep mucosal leishmaniasis is to secure satisfactory care of the cutaneous transmission. Serious (Advanced ) instances of visceral leishmaniasis typically are deadly. Potential interventions for instances add buccal ketoconazole (Nizoral, Extina, Xolegel, Kuric ), intravenous pentamidine, or liposomal amphotericin B. Three neighboring nations at Southeast Asia—Bangladesh, India, and Nepal—joined those who’s kala-azar removal system in 2005. All three nations have made substantial progress towards these objectives. The number of cases has decreased by 59 percent, rate by 85 percent and case death by 61 percent. Nepal has eliminated this illness at district level, and maintained this position for the last two years. Bangladesh has reached this elimination goal at 90 percent of endemic sub-districts. India has reached this goal in more than two-thirds of endemic countries.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Leishmaniasis may remain partially forbidden by sleeping under nets treated with insecticide. Additional methods include spraying insecticides to destroy sandflies and treating people with this illness early to keep further spread. The care taken is defined by where the illness is developed, the species of Leishmania, and this form of transmission. Some potential medicines applied for visceral illness include liposomal amphotericin B, the combination of pentavalent antimonials and paromomycin, and miltefosine. For cutaneous illness, paromomycin, fluconazole, or pentamidine may remain useful.</w:t>
      </w:r>
    </w:p>
    <w:p w:rsidR="00585B0B" w:rsidRPr="00585B0B" w:rsidRDefault="00585B0B" w:rsidP="00585B0B">
      <w:pPr>
        <w:spacing w:line="480" w:lineRule="auto"/>
        <w:contextualSpacing/>
        <w:rPr>
          <w:rFonts w:ascii="Times New Roman" w:hAnsi="Times New Roman" w:cs="Times New Roman"/>
          <w:sz w:val="24"/>
          <w:szCs w:val="24"/>
        </w:rPr>
      </w:pPr>
    </w:p>
    <w:p w:rsid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Antimony-based drugs, such as meglumine antimoniate, are also considered these drugs of selection for management of leishmaniasis at national creatures. Unfortunately, besides getting </w:t>
      </w:r>
      <w:r w:rsidRPr="00585B0B">
        <w:rPr>
          <w:rFonts w:ascii="Times New Roman" w:hAnsi="Times New Roman" w:cs="Times New Roman"/>
          <w:sz w:val="24"/>
          <w:szCs w:val="24"/>
        </w:rPr>
        <w:lastRenderedPageBreak/>
        <w:t>poor therapeutic indicators, these drugs have minimal ability of the bone marrow, where some of the Leishmania amastigotes live, and healing this illness – particularly the visceral form – is very difficult. Elemental antimony as the antimony pill was when used as the drug. It would be recycled by others after consumption and removal.</w:t>
      </w:r>
    </w:p>
    <w:p w:rsid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 Plants as medicine for leishmaniasis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Here we discover “photodynamic immunization” (PDV) that employs PDT-inactivation of leeches, i.e. Leishmania as whole-cell vaccines against leishmaniasis, and as the general carrier to produce transgenic add-on vaccines against different communicable and cancerous diseases. This effectiveness of Leishmania for vaccine transfer makes usage of their innate properties to parasitize antigen (vaccine) -presenting cells. Inactivation of Leishmania by PDT offers safe for their purpose. This is achieved in two other ways: (I ) chemical technology of PS to improve their consumption, e.g. Si-phthalocyanines; and (ii ) transgenic way to create Leishmania inducible for porphyrinogenesis. Three other strategies of Leishmania-based PDV are represented diagrammatically to describe these cellular outcomes resulting in cell-mediated resistance, as looked experimentally against leishmaniasis and Leishmania-delivered antigen in vitro and at vivo. Safe versus effectiveness ratings are under way for PDT-inactivated Leishmania, including those further processed to aid their memory and transportation. Leishmania transfected to express human and viral vaccine prospects are being made accordingly for research tests.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For people with cutaneous leishmaniasis who have some massive skin wounds, the weakened immune system or tainted with Leishmania species that may possibly make mucosal leishmaniasis, treatment may add several medications such as liposomal amphotericin B, miltefosine or sodium stibogluconate. The greatest care option for mucosal leishmaniasis is not recognized. Interventions that have been employed for the consideration add liposomal amphotericin B, miltefosine, and sodium stibogluconate. Operation may be required for people with serious complications of the mucous membranes of the cheek and front (orofacial operation) . Prevention is the most powerful ways of operating leishmaniasis. At countries where leishmaniasis is understood to be here, steps should be taken to prevent exposure to dirt flies, particularly from twilight to sunrise, by utilizing insect resistant containing DEET and clothing that covers the arms and legs when outside. Travelers should be at well-screened fields, particularly at night when sand flies are most involved. Insect display, netting in this furniture, and wear that is treated with insecticides such as permethrin or pyrethrum should likewise be applied.</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Leishmaniasis is a very awful disease. It may turn down the person’’s internal organs, killing them, or have large, unsightly skin sores that get scars. It’s induced by the protozoan of this Leishmania genus, placed into humans ’ bloodstreams by sandflies ’ stings. Drug will normally remove these microorganisms, though it is growing into more resistant to drugs. The team of Brazilian investigators has been using the material named crovirin discovered in the venom of prairie rattlesnake to kill Leishmania protozoans, Also as others in its home that have different “ </w:t>
      </w:r>
      <w:r w:rsidRPr="00585B0B">
        <w:rPr>
          <w:rFonts w:ascii="Times New Roman" w:hAnsi="Times New Roman" w:cs="Times New Roman"/>
          <w:sz w:val="24"/>
          <w:szCs w:val="24"/>
        </w:rPr>
        <w:lastRenderedPageBreak/>
        <w:t>overlooked ” infections such as Chagas illness and sleeping sickness. These researchers hope that material will be applied in new medicine for these diseases in the future.</w:t>
      </w:r>
    </w:p>
    <w:p w:rsidR="00585B0B" w:rsidRDefault="00585B0B" w:rsidP="00585B0B">
      <w:pPr>
        <w:spacing w:line="480" w:lineRule="auto"/>
        <w:contextualSpacing/>
        <w:rPr>
          <w:rFonts w:ascii="Times New Roman" w:hAnsi="Times New Roman" w:cs="Times New Roman"/>
          <w:sz w:val="24"/>
          <w:szCs w:val="24"/>
        </w:rPr>
      </w:pPr>
    </w:p>
    <w:p w:rsid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 Epidemiology of visceral leishmaniasis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visceral leishmaniasis (VL ), also known as kala-azar is deadly if left untreated at around 95 percent of cases. It is characterised by sporadic bouts of symptom, weight loss, treatment of the spleen and organs, and anaemia. Most instances happen in Brazil, Asia Africa and at South-East Asia. The estimated 50 000 to 90 000 current instances of VL happen worldwide every year out of which but one estimated 25–45 percent are reported to WHO. At 2017, more than 95 percent of recent cases accounted to WHO happened at 10 nations: Bangladesh, Brazil, Taiwan, Ethiopia, India, Kenya, Nepal, Somalia, South Sudan and Sudan. Cutaneous leishmaniasis (cl ) is the most familiar kind of leishmaniasis and causes surface wounds, primarily ulcers, on open components of the body, giving life-long scars and severe disability or stigma. Almost 95 percent of CL cases happen in the U.S., the sea basin, the Middle East and Central Asia. At 2017 around 95 percent of current CL cases happened in 6 countries: Afghanistan, Algeria, Brazil, Colombia, Persia (Islamic democracy of) , Iraq and the Syrian Arab Republic. It is estimated that between 600 000 to 1 million current instances happen worldwide yearly.</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Leishmaniasis is the disease moved by this taste of the sandfly. It is seen mostly in tropical nations. There are different cases of leishmaniasis, and they differ in symptoms and intensity. Intuitive leishmaniasis (VL, or Kala Azar) is that most serious; left untreated, it is usually deadly. Its symptoms include fever, weight loss, symptom, and the lump of the spleen and organs. </w:t>
      </w:r>
      <w:r w:rsidRPr="00585B0B">
        <w:rPr>
          <w:rFonts w:ascii="Times New Roman" w:hAnsi="Times New Roman" w:cs="Times New Roman"/>
          <w:sz w:val="24"/>
          <w:szCs w:val="24"/>
        </w:rPr>
        <w:lastRenderedPageBreak/>
        <w:t>Mucocutaneous leishmaniasis (MCL, or espundia) creates wounds that change the front, mouth, and throat and will kill their mucous membranes. Cutaneous leishmaniasis (cl ) creates skin ulcers, sometimes as some as 200, that have impairment and considerable scarring. Penetrate cutaneous leishmaniasis (DCL ) equals related to CL, and contaminated people are inclined to relapses. Roughly 12 million instances of leishmaniasis live today.</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Malnutrition disproportionately impact those at sub-Saharan Africa. Around 35% of kids under the age of 5 in sub-Saharan Africa exhibit tangible signs of malnutrition. Malnutrition, the immunity, and contagious diseases control in a cyclic way: Communicable diseases have harmful consequences on nutritional status, and nutritional deficiencies will decrease the intensity of the immune system which affects the body’s ability to resist infections. Increased mother-to-child communication is associated with particular deficiencies in micro-nutrients , e.g., vitamin A. Simultaneously, HIV lowers the substance’s ability to intake vital foods.</w:t>
      </w:r>
    </w:p>
    <w:p w:rsid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Immunology of Leishmania</w:t>
      </w:r>
    </w:p>
    <w:p w:rsidR="00585B0B" w:rsidRDefault="00585B0B" w:rsidP="00585B0B">
      <w:pPr>
        <w:spacing w:line="480" w:lineRule="auto"/>
        <w:contextualSpacing/>
        <w:rPr>
          <w:rFonts w:ascii="Times New Roman" w:hAnsi="Times New Roman" w:cs="Times New Roman"/>
          <w:sz w:val="24"/>
          <w:szCs w:val="24"/>
        </w:rPr>
      </w:pPr>
    </w:p>
    <w:p w:rsid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The attention of the HIV-infected case in the emergency sector has changed since the process of extremely dynamic antiretroviral therapy. The therapy has resulted in further time expectancies and increased quality of living for HIV-infected patients, and in instances of aid agreement and prosperity, virtual removal of AIDS-associated opportunistic infections. As a result, the crisis practitioner is now more frequently faced with adverse outcomes associated with drug and the </w:t>
      </w:r>
      <w:r w:rsidRPr="00585B0B">
        <w:rPr>
          <w:rFonts w:ascii="Times New Roman" w:hAnsi="Times New Roman" w:cs="Times New Roman"/>
          <w:sz w:val="24"/>
          <w:szCs w:val="24"/>
        </w:rPr>
        <w:lastRenderedPageBreak/>
        <w:t>diseases associated with aging and degenerative illness. The topic concentrates on these differences in assessment of HIV patients on long-term therapy and patients with drug noncompliance and reduced CD4 counts, also as identification of life-threatening and uncommon opportunistic infections. Disease procedures associated with the result of longstanding HIV transmission, yet with better regulation, on some organ systems are spoken.</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Immunologic circumstances-Immunologic failure is arbitrarily defined as failure of the CD4 number to change by 25-50/μL or the move to the standard CD4 before intervention. Most patients can tell immunologically even if viral prevention is partial. However, the virologic circumstances would eventually lead to compensatory variations and the decrease in CD4 number. Until So, that decreased viral fitness secondary to mutations may keep the temporary discord between virologic circumstances and immunologic result. Objective circumstances-It is defined as the presence or repetition of HIV-related results after at least 3 months of care, with the example of resistant reconstitution syndromes. The explanation thus excludes residual immune deficiency that prevails in the first end of antiretroviral therapy. Clinical circumstances usually is virologic and immunologic circumstances in the rule.</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Social condition of Leishmaniasis</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 xml:space="preserve">Leishmania study equals held by this phlebotomine sandflies (genus Phlebotomus or Lutzomyia ). In the sandfly, Leishmania is as the flagellated promastigote, which distinguishes from the replicating procyclic structure to the nonreplicating metacyclic structure. These contagious metacyclics are transmitted through the sandfly proboscis into the mammalian server where they </w:t>
      </w:r>
      <w:r w:rsidRPr="00585B0B">
        <w:rPr>
          <w:rFonts w:ascii="Times New Roman" w:hAnsi="Times New Roman" w:cs="Times New Roman"/>
          <w:sz w:val="24"/>
          <w:szCs w:val="24"/>
        </w:rPr>
        <w:lastRenderedPageBreak/>
        <w:t>follow macrophages. Inside this macrophage, they evolve into nonflagellated amastigotes and copy, finally defeating the host cell.</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Post-kala-azar dermal leishmaniasis (PKDL) is normally the continuation of visceral leishmaniasis that looks as macular, papular or nodular rash commonly on appearance, high limbs, trunks and different parts of the body. It happ</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Man Leishmaniasis embraces multiple objective syndromes, most notably visceral, cutaneous, and mucosal shapes. Infections may lead in two primary kinds of illness, cutaneous leishmaniasis and visceral leishmaniasis (kala-azar ). Other varieties may be linked with Different clinical manifestations and sequelae. Species identity will aid objective governance, , e.g., decisions regarding whether/which care is suggested. Varieties, geographical location, and immune reaction of the host. Cutaneous leishmaniasis is characterised by one or more cutaneous wounds on regions where sandflies get eaten. The scab encompasses some sores.ens primarily in Asia Africa and on the Indian subcontinent, where 5–10 percent of patients with kala-azar are reported to improve this status. It normally seems 6 months to 1 or more years after kala-azar has obviously been healed, but may come earlier. People with PKDL are believed to be the possible source of Leishmania transmission. Leishmania-HIV coinfected people have higher chance of producing the full-blown clinical illness, and higher relapse and morbidity rates. Antiretroviral care reduces the growth of this illness, delays relapses and increases the life of the coinfected patients. Higher Leishmania-HIV coinfection charges are reported from Brazil, Ethiopia and this government of Bihar at India.</w:t>
      </w: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Conclusion</w:t>
      </w: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p>
    <w:p w:rsidR="00585B0B" w:rsidRPr="00585B0B" w:rsidRDefault="00585B0B" w:rsidP="00585B0B">
      <w:pPr>
        <w:spacing w:line="480" w:lineRule="auto"/>
        <w:contextualSpacing/>
        <w:rPr>
          <w:rFonts w:ascii="Times New Roman" w:hAnsi="Times New Roman" w:cs="Times New Roman"/>
          <w:sz w:val="24"/>
          <w:szCs w:val="24"/>
        </w:rPr>
      </w:pPr>
      <w:r w:rsidRPr="00585B0B">
        <w:rPr>
          <w:rFonts w:ascii="Times New Roman" w:hAnsi="Times New Roman" w:cs="Times New Roman"/>
          <w:sz w:val="24"/>
          <w:szCs w:val="24"/>
        </w:rPr>
        <w:t>This management of leishmaniasis depends on various factors including variety of illness, concomitant pathologies, parasite species and geographical location. Leishmaniasis is a treatable and curable illness, which involves the immunocompetent method because medicines cannot remove the organism from the body, therefore the risk of failure if immunosuppression occurs. All patients diagnosed as with visceral leishmaniasis need immediate and comprehensive care. Detailed data on management of the different forms of the illness by geographical location is available at those WHO technical information series 949, `` power of leishmaniasis ''. First identification and effective quick treatment reduces the prevalence of this illness and prevents disabilities and death. It helps to reduce communication and to observe the distribution and burden of illness. Presently there are extremely efficient and good anti-leishmanial medicines especially for visceral leishmaniasis, although they may be difficult to apply. Access to medicines has significantly improved thanks to the WHO-negotiated value system and the drug giving program through WHO.</w:t>
      </w:r>
    </w:p>
    <w:p w:rsidR="00585B0B" w:rsidRDefault="00585B0B" w:rsidP="00C03A83">
      <w:pPr>
        <w:spacing w:line="480" w:lineRule="auto"/>
        <w:contextualSpacing/>
        <w:rPr>
          <w:rFonts w:ascii="Times New Roman" w:hAnsi="Times New Roman" w:cs="Times New Roman"/>
          <w:sz w:val="24"/>
          <w:szCs w:val="24"/>
        </w:rPr>
      </w:pPr>
    </w:p>
    <w:p w:rsidR="00585B0B" w:rsidRDefault="00585B0B" w:rsidP="00C03A83">
      <w:pPr>
        <w:spacing w:line="480" w:lineRule="auto"/>
        <w:contextualSpacing/>
        <w:rPr>
          <w:rFonts w:ascii="Times New Roman" w:hAnsi="Times New Roman" w:cs="Times New Roman"/>
          <w:sz w:val="24"/>
          <w:szCs w:val="24"/>
        </w:rPr>
      </w:pPr>
    </w:p>
    <w:p w:rsidR="00585B0B" w:rsidRDefault="00585B0B">
      <w:pPr>
        <w:rPr>
          <w:rFonts w:ascii="Times New Roman" w:hAnsi="Times New Roman" w:cs="Times New Roman"/>
          <w:sz w:val="24"/>
          <w:szCs w:val="24"/>
        </w:rPr>
      </w:pPr>
      <w:r>
        <w:rPr>
          <w:rFonts w:ascii="Times New Roman" w:hAnsi="Times New Roman" w:cs="Times New Roman"/>
          <w:sz w:val="24"/>
          <w:szCs w:val="24"/>
        </w:rPr>
        <w:br w:type="page"/>
      </w:r>
    </w:p>
    <w:p w:rsidR="00325A0B" w:rsidRDefault="00390545" w:rsidP="00C03A83">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Bindawa, M., Adeiza, M., Fanie, R., &amp; Auwal, M. (2017). chemotherapeutic potential of chalcones against leishmaniases: a review. </w:t>
      </w:r>
      <w:r w:rsidRPr="00585B0B">
        <w:rPr>
          <w:rFonts w:ascii="Times New Roman" w:hAnsi="Times New Roman" w:cs="Times New Roman"/>
          <w:i/>
          <w:iCs/>
          <w:sz w:val="24"/>
          <w:szCs w:val="24"/>
        </w:rPr>
        <w:t>International Journal of Antimicrobial Agents</w:t>
      </w:r>
      <w:r w:rsidRPr="00585B0B">
        <w:rPr>
          <w:rFonts w:ascii="Times New Roman" w:hAnsi="Times New Roman" w:cs="Times New Roman"/>
          <w:sz w:val="24"/>
          <w:szCs w:val="24"/>
        </w:rPr>
        <w:t>.</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Bruhn, F. R. P., Morais, M. H. F., Cardoso, D. L., Bruhn, N. C. P., Ferreira, F., &amp; da Rocha, C. M. B. M. (2018). Spatial and temporal relationships between human and canine visceral leishmaniases in Belo Horizonte, Minas Gerais, 2006–2013. </w:t>
      </w:r>
      <w:r w:rsidRPr="00585B0B">
        <w:rPr>
          <w:rFonts w:ascii="Times New Roman" w:hAnsi="Times New Roman" w:cs="Times New Roman"/>
          <w:i/>
          <w:iCs/>
          <w:sz w:val="24"/>
          <w:szCs w:val="24"/>
        </w:rPr>
        <w:t>Parasites &amp; vectors</w:t>
      </w:r>
      <w:r w:rsidRPr="00585B0B">
        <w:rPr>
          <w:rFonts w:ascii="Times New Roman" w:hAnsi="Times New Roman" w:cs="Times New Roman"/>
          <w:sz w:val="24"/>
          <w:szCs w:val="24"/>
        </w:rPr>
        <w:t>, </w:t>
      </w:r>
      <w:r w:rsidRPr="00585B0B">
        <w:rPr>
          <w:rFonts w:ascii="Times New Roman" w:hAnsi="Times New Roman" w:cs="Times New Roman"/>
          <w:i/>
          <w:iCs/>
          <w:sz w:val="24"/>
          <w:szCs w:val="24"/>
        </w:rPr>
        <w:t>11</w:t>
      </w:r>
      <w:r w:rsidRPr="00585B0B">
        <w:rPr>
          <w:rFonts w:ascii="Times New Roman" w:hAnsi="Times New Roman" w:cs="Times New Roman"/>
          <w:sz w:val="24"/>
          <w:szCs w:val="24"/>
        </w:rPr>
        <w:t>(1), 372.</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Cruz, I., Albertini, A., Barbeitas, M., Arana, B., Picado, A., Ruiz-Postigo, J. A., &amp; Ndung'u, J. M. (2019). Target Product Profile for a point-of-care diagnostic test for dermal leishmaniases. </w:t>
      </w:r>
      <w:r w:rsidRPr="00585B0B">
        <w:rPr>
          <w:rFonts w:ascii="Times New Roman" w:hAnsi="Times New Roman" w:cs="Times New Roman"/>
          <w:i/>
          <w:iCs/>
          <w:sz w:val="24"/>
          <w:szCs w:val="24"/>
        </w:rPr>
        <w:t>Parasite epidemiology and control</w:t>
      </w:r>
      <w:r w:rsidRPr="00585B0B">
        <w:rPr>
          <w:rFonts w:ascii="Times New Roman" w:hAnsi="Times New Roman" w:cs="Times New Roman"/>
          <w:sz w:val="24"/>
          <w:szCs w:val="24"/>
        </w:rPr>
        <w:t>, </w:t>
      </w:r>
      <w:r w:rsidRPr="00585B0B">
        <w:rPr>
          <w:rFonts w:ascii="Times New Roman" w:hAnsi="Times New Roman" w:cs="Times New Roman"/>
          <w:i/>
          <w:iCs/>
          <w:sz w:val="24"/>
          <w:szCs w:val="24"/>
        </w:rPr>
        <w:t>5</w:t>
      </w:r>
      <w:r w:rsidRPr="00585B0B">
        <w:rPr>
          <w:rFonts w:ascii="Times New Roman" w:hAnsi="Times New Roman" w:cs="Times New Roman"/>
          <w:sz w:val="24"/>
          <w:szCs w:val="24"/>
        </w:rPr>
        <w:t>, e00103.</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de Paiva-Cavalcanti, M., de Morais, R. C. S., Pessoa-e-Silva, R., Trajano-Silva, L. A. M., da Cunha Gonçalves-de-Albuquerque, S., Tavares, D. D. H. C., ... &amp; Pereira, V. R. A. (2015). Leishmaniases diagnosis: an update on the use of immunological and molecular tools. </w:t>
      </w:r>
      <w:r w:rsidRPr="00585B0B">
        <w:rPr>
          <w:rFonts w:ascii="Times New Roman" w:hAnsi="Times New Roman" w:cs="Times New Roman"/>
          <w:i/>
          <w:iCs/>
          <w:sz w:val="24"/>
          <w:szCs w:val="24"/>
        </w:rPr>
        <w:t>Cell &amp; bioscience</w:t>
      </w:r>
      <w:r w:rsidRPr="00585B0B">
        <w:rPr>
          <w:rFonts w:ascii="Times New Roman" w:hAnsi="Times New Roman" w:cs="Times New Roman"/>
          <w:sz w:val="24"/>
          <w:szCs w:val="24"/>
        </w:rPr>
        <w:t>, </w:t>
      </w:r>
      <w:r w:rsidRPr="00585B0B">
        <w:rPr>
          <w:rFonts w:ascii="Times New Roman" w:hAnsi="Times New Roman" w:cs="Times New Roman"/>
          <w:i/>
          <w:iCs/>
          <w:sz w:val="24"/>
          <w:szCs w:val="24"/>
        </w:rPr>
        <w:t>5</w:t>
      </w:r>
      <w:r w:rsidRPr="00585B0B">
        <w:rPr>
          <w:rFonts w:ascii="Times New Roman" w:hAnsi="Times New Roman" w:cs="Times New Roman"/>
          <w:sz w:val="24"/>
          <w:szCs w:val="24"/>
        </w:rPr>
        <w:t>(1), 31.</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Monteiro, L. M., Löbenberg, R., Cotrim, P. C., Barros de Araujo, G. L., &amp; Bou-Chacra, N. (2017). Buparvaquone nanostructured lipid carrier: development of an affordable delivery system for the treatment of leishmaniases. </w:t>
      </w:r>
      <w:r w:rsidRPr="00585B0B">
        <w:rPr>
          <w:rFonts w:ascii="Times New Roman" w:hAnsi="Times New Roman" w:cs="Times New Roman"/>
          <w:i/>
          <w:iCs/>
          <w:sz w:val="24"/>
          <w:szCs w:val="24"/>
        </w:rPr>
        <w:t>BioMed research international</w:t>
      </w:r>
      <w:r w:rsidRPr="00585B0B">
        <w:rPr>
          <w:rFonts w:ascii="Times New Roman" w:hAnsi="Times New Roman" w:cs="Times New Roman"/>
          <w:sz w:val="24"/>
          <w:szCs w:val="24"/>
        </w:rPr>
        <w:t>, </w:t>
      </w:r>
      <w:r w:rsidRPr="00585B0B">
        <w:rPr>
          <w:rFonts w:ascii="Times New Roman" w:hAnsi="Times New Roman" w:cs="Times New Roman"/>
          <w:i/>
          <w:iCs/>
          <w:sz w:val="24"/>
          <w:szCs w:val="24"/>
        </w:rPr>
        <w:t>2017</w:t>
      </w:r>
      <w:r w:rsidRPr="00585B0B">
        <w:rPr>
          <w:rFonts w:ascii="Times New Roman" w:hAnsi="Times New Roman" w:cs="Times New Roman"/>
          <w:sz w:val="24"/>
          <w:szCs w:val="24"/>
        </w:rPr>
        <w:t>.</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Sereno, D., Akhoundi, M., Dorkeld, F., Oury, B., Momen, H., &amp; Perrin, P. (2017). What pre-Columbian mummies could teach us about South American leishmaniases?. </w:t>
      </w:r>
      <w:r w:rsidRPr="00585B0B">
        <w:rPr>
          <w:rFonts w:ascii="Times New Roman" w:hAnsi="Times New Roman" w:cs="Times New Roman"/>
          <w:i/>
          <w:iCs/>
          <w:sz w:val="24"/>
          <w:szCs w:val="24"/>
        </w:rPr>
        <w:t>Pathogens and disease</w:t>
      </w:r>
      <w:r w:rsidRPr="00585B0B">
        <w:rPr>
          <w:rFonts w:ascii="Times New Roman" w:hAnsi="Times New Roman" w:cs="Times New Roman"/>
          <w:sz w:val="24"/>
          <w:szCs w:val="24"/>
        </w:rPr>
        <w:t>, </w:t>
      </w:r>
      <w:r w:rsidRPr="00585B0B">
        <w:rPr>
          <w:rFonts w:ascii="Times New Roman" w:hAnsi="Times New Roman" w:cs="Times New Roman"/>
          <w:i/>
          <w:iCs/>
          <w:sz w:val="24"/>
          <w:szCs w:val="24"/>
        </w:rPr>
        <w:t>75</w:t>
      </w:r>
      <w:r>
        <w:rPr>
          <w:rFonts w:ascii="Times New Roman" w:hAnsi="Times New Roman" w:cs="Times New Roman"/>
          <w:sz w:val="24"/>
          <w:szCs w:val="24"/>
        </w:rPr>
        <w:t>(3), ftx019</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Shaw, J. (2018). The importance of understanding enzootic cycles in the epidemiology of zoonotic diseases with special reference to the American leishmaniases. </w:t>
      </w:r>
      <w:r w:rsidRPr="00585B0B">
        <w:rPr>
          <w:rFonts w:ascii="Times New Roman" w:hAnsi="Times New Roman" w:cs="Times New Roman"/>
          <w:i/>
          <w:iCs/>
          <w:sz w:val="24"/>
          <w:szCs w:val="24"/>
        </w:rPr>
        <w:t>Transactions of The Royal Society of Tropical Medicine and Hygiene</w:t>
      </w:r>
      <w:r w:rsidRPr="00585B0B">
        <w:rPr>
          <w:rFonts w:ascii="Times New Roman" w:hAnsi="Times New Roman" w:cs="Times New Roman"/>
          <w:sz w:val="24"/>
          <w:szCs w:val="24"/>
        </w:rPr>
        <w:t>, </w:t>
      </w:r>
      <w:r w:rsidRPr="00585B0B">
        <w:rPr>
          <w:rFonts w:ascii="Times New Roman" w:hAnsi="Times New Roman" w:cs="Times New Roman"/>
          <w:i/>
          <w:iCs/>
          <w:sz w:val="24"/>
          <w:szCs w:val="24"/>
        </w:rPr>
        <w:t>113</w:t>
      </w:r>
      <w:r w:rsidRPr="00585B0B">
        <w:rPr>
          <w:rFonts w:ascii="Times New Roman" w:hAnsi="Times New Roman" w:cs="Times New Roman"/>
          <w:sz w:val="24"/>
          <w:szCs w:val="24"/>
        </w:rPr>
        <w:t>(3), 108-109.</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lastRenderedPageBreak/>
        <w:t>Singh, B., Buckner, F. S., &amp; Pollastri, M. P. (2019). Discovery of Drugs for Leishmaniases: A Progress Report. </w:t>
      </w:r>
      <w:r w:rsidRPr="00585B0B">
        <w:rPr>
          <w:rFonts w:ascii="Times New Roman" w:hAnsi="Times New Roman" w:cs="Times New Roman"/>
          <w:i/>
          <w:iCs/>
          <w:sz w:val="24"/>
          <w:szCs w:val="24"/>
        </w:rPr>
        <w:t>Neglected Tropical Diseases: Drug Discovery and Development</w:t>
      </w:r>
      <w:r w:rsidRPr="00585B0B">
        <w:rPr>
          <w:rFonts w:ascii="Times New Roman" w:hAnsi="Times New Roman" w:cs="Times New Roman"/>
          <w:sz w:val="24"/>
          <w:szCs w:val="24"/>
        </w:rPr>
        <w:t>, 139-160.</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Silveira, F. T. (2019). What makes mucosal and anergic diffuse cutaneous leishmaniases so clinically and immunopathogically different? A review in Brazil. </w:t>
      </w:r>
      <w:r w:rsidRPr="00585B0B">
        <w:rPr>
          <w:rFonts w:ascii="Times New Roman" w:hAnsi="Times New Roman" w:cs="Times New Roman"/>
          <w:i/>
          <w:iCs/>
          <w:sz w:val="24"/>
          <w:szCs w:val="24"/>
        </w:rPr>
        <w:t>Transactions of The Royal Society of Tropical Medicine and Hygiene</w:t>
      </w:r>
      <w:r w:rsidRPr="00585B0B">
        <w:rPr>
          <w:rFonts w:ascii="Times New Roman" w:hAnsi="Times New Roman" w:cs="Times New Roman"/>
          <w:sz w:val="24"/>
          <w:szCs w:val="24"/>
        </w:rPr>
        <w:t>.</w:t>
      </w:r>
    </w:p>
    <w:p w:rsidR="00585B0B" w:rsidRDefault="00585B0B" w:rsidP="00585B0B">
      <w:pPr>
        <w:spacing w:line="480" w:lineRule="auto"/>
        <w:ind w:left="720" w:hanging="720"/>
        <w:contextualSpacing/>
        <w:rPr>
          <w:rFonts w:ascii="Times New Roman" w:hAnsi="Times New Roman" w:cs="Times New Roman"/>
          <w:sz w:val="24"/>
          <w:szCs w:val="24"/>
        </w:rPr>
      </w:pPr>
      <w:r>
        <w:rPr>
          <w:rFonts w:ascii="Arial" w:hAnsi="Arial" w:cs="Arial"/>
          <w:color w:val="222222"/>
          <w:sz w:val="20"/>
          <w:szCs w:val="20"/>
          <w:shd w:val="clear" w:color="auto" w:fill="FFFFFF"/>
        </w:rPr>
        <w:t>Souguir-Omrani, H., Chemkhi, J., Fathallah-Mili, A., Saadi-BenAoun, Y., BelHadjAli, I., Guizani, I., &amp; Guerbouj, S. (2018). Paraechinus aethiopicus (Ehrenberg 1832) and Atelerix algirus (Lereboullet 1842) hedgehogs: Possible reservoirs of endemic leishmaniases in Tunisia. </w:t>
      </w:r>
      <w:r>
        <w:rPr>
          <w:rFonts w:ascii="Arial" w:hAnsi="Arial" w:cs="Arial"/>
          <w:i/>
          <w:iCs/>
          <w:color w:val="222222"/>
          <w:sz w:val="20"/>
          <w:szCs w:val="20"/>
          <w:shd w:val="clear" w:color="auto" w:fill="FFFFFF"/>
        </w:rPr>
        <w:t>Infection, Genetics and Evolution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63</w:t>
      </w:r>
      <w:r>
        <w:rPr>
          <w:rFonts w:ascii="Arial" w:hAnsi="Arial" w:cs="Arial"/>
          <w:color w:val="222222"/>
          <w:sz w:val="20"/>
          <w:szCs w:val="20"/>
          <w:shd w:val="clear" w:color="auto" w:fill="FFFFFF"/>
        </w:rPr>
        <w:t>, 219-230.</w:t>
      </w:r>
    </w:p>
    <w:p w:rsidR="00585B0B" w:rsidRDefault="00585B0B" w:rsidP="00585B0B">
      <w:pPr>
        <w:spacing w:line="480" w:lineRule="auto"/>
        <w:ind w:left="720" w:hanging="720"/>
        <w:contextualSpacing/>
        <w:rPr>
          <w:rFonts w:ascii="Times New Roman" w:hAnsi="Times New Roman" w:cs="Times New Roman"/>
          <w:sz w:val="24"/>
          <w:szCs w:val="24"/>
        </w:rPr>
      </w:pPr>
      <w:r w:rsidRPr="00585B0B">
        <w:rPr>
          <w:rFonts w:ascii="Times New Roman" w:hAnsi="Times New Roman" w:cs="Times New Roman"/>
          <w:sz w:val="24"/>
          <w:szCs w:val="24"/>
        </w:rPr>
        <w:t>Tajuddeen, N., Isah, M. B., Suleiman, M. A., van Heerden, F. R., &amp; Ibrahim, M. A. (2018). The chemotherapeutic potential of chalcones against leishmaniases: a review. </w:t>
      </w:r>
      <w:r w:rsidRPr="00585B0B">
        <w:rPr>
          <w:rFonts w:ascii="Times New Roman" w:hAnsi="Times New Roman" w:cs="Times New Roman"/>
          <w:i/>
          <w:iCs/>
          <w:sz w:val="24"/>
          <w:szCs w:val="24"/>
        </w:rPr>
        <w:t>International journal of antimicrobial agents</w:t>
      </w:r>
      <w:r w:rsidRPr="00585B0B">
        <w:rPr>
          <w:rFonts w:ascii="Times New Roman" w:hAnsi="Times New Roman" w:cs="Times New Roman"/>
          <w:sz w:val="24"/>
          <w:szCs w:val="24"/>
        </w:rPr>
        <w:t>, </w:t>
      </w:r>
      <w:r w:rsidRPr="00585B0B">
        <w:rPr>
          <w:rFonts w:ascii="Times New Roman" w:hAnsi="Times New Roman" w:cs="Times New Roman"/>
          <w:i/>
          <w:iCs/>
          <w:sz w:val="24"/>
          <w:szCs w:val="24"/>
        </w:rPr>
        <w:t>51</w:t>
      </w:r>
      <w:r w:rsidRPr="00585B0B">
        <w:rPr>
          <w:rFonts w:ascii="Times New Roman" w:hAnsi="Times New Roman" w:cs="Times New Roman"/>
          <w:sz w:val="24"/>
          <w:szCs w:val="24"/>
        </w:rPr>
        <w:t>(3), 311-318.</w:t>
      </w:r>
    </w:p>
    <w:p w:rsidR="00585B0B" w:rsidRDefault="00585B0B" w:rsidP="00585B0B">
      <w:pPr>
        <w:spacing w:line="480" w:lineRule="auto"/>
        <w:ind w:left="720" w:hanging="720"/>
        <w:contextualSpacing/>
        <w:rPr>
          <w:rFonts w:ascii="Times New Roman" w:hAnsi="Times New Roman" w:cs="Times New Roman"/>
          <w:sz w:val="24"/>
          <w:szCs w:val="24"/>
        </w:rPr>
      </w:pPr>
    </w:p>
    <w:sectPr w:rsidR="00585B0B" w:rsidSect="001269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CAC" w:rsidRDefault="008A7CAC" w:rsidP="00113293">
      <w:pPr>
        <w:spacing w:after="0" w:line="240" w:lineRule="auto"/>
      </w:pPr>
      <w:r>
        <w:separator/>
      </w:r>
    </w:p>
  </w:endnote>
  <w:endnote w:type="continuationSeparator" w:id="1">
    <w:p w:rsidR="008A7CAC" w:rsidRDefault="008A7CAC" w:rsidP="00113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CAC" w:rsidRDefault="008A7CAC" w:rsidP="00113293">
      <w:pPr>
        <w:spacing w:after="0" w:line="240" w:lineRule="auto"/>
      </w:pPr>
      <w:r>
        <w:separator/>
      </w:r>
    </w:p>
  </w:footnote>
  <w:footnote w:type="continuationSeparator" w:id="1">
    <w:p w:rsidR="008A7CAC" w:rsidRDefault="008A7CAC" w:rsidP="00113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3189"/>
      <w:docPartObj>
        <w:docPartGallery w:val="Page Numbers (Top of Page)"/>
        <w:docPartUnique/>
      </w:docPartObj>
    </w:sdtPr>
    <w:sdtContent>
      <w:p w:rsidR="0012690A" w:rsidRDefault="00585B0B" w:rsidP="00B346B5">
        <w:r w:rsidRPr="00585B0B">
          <w:rPr>
            <w:rFonts w:ascii="Times New Roman" w:hAnsi="Times New Roman" w:cs="Times New Roman"/>
            <w:sz w:val="24"/>
            <w:szCs w:val="24"/>
          </w:rPr>
          <w:t>LEISHMANIASES</w:t>
        </w:r>
        <w:r w:rsidR="00B346B5">
          <w:rPr>
            <w:rFonts w:ascii="Times New Roman" w:hAnsi="Times New Roman" w:cs="Times New Roman"/>
            <w:bCs/>
            <w:sz w:val="24"/>
            <w:szCs w:val="24"/>
          </w:rPr>
          <w:tab/>
        </w:r>
        <w:r w:rsidR="00B346B5">
          <w:rPr>
            <w:rFonts w:ascii="Times New Roman" w:hAnsi="Times New Roman" w:cs="Times New Roman"/>
            <w:bCs/>
            <w:sz w:val="24"/>
            <w:szCs w:val="24"/>
          </w:rPr>
          <w:tab/>
        </w:r>
        <w:r w:rsidR="00B346B5">
          <w:rPr>
            <w:rFonts w:ascii="Times New Roman" w:hAnsi="Times New Roman" w:cs="Times New Roman"/>
            <w:bCs/>
            <w:sz w:val="24"/>
            <w:szCs w:val="24"/>
          </w:rPr>
          <w:tab/>
        </w:r>
        <w:r w:rsidR="00F848EF">
          <w:rPr>
            <w:rFonts w:ascii="Times New Roman" w:hAnsi="Times New Roman" w:cs="Times New Roman"/>
            <w:sz w:val="24"/>
            <w:szCs w:val="24"/>
          </w:rPr>
          <w:tab/>
        </w:r>
        <w:r w:rsidR="00F848EF" w:rsidRPr="00D26309">
          <w:rPr>
            <w:rFonts w:ascii="Times New Roman" w:hAnsi="Times New Roman" w:cs="Times New Roman"/>
            <w:sz w:val="24"/>
            <w:szCs w:val="24"/>
          </w:rPr>
          <w:t xml:space="preserve"> </w:t>
        </w:r>
        <w:r w:rsidR="00FF53B8" w:rsidRPr="00D26309">
          <w:rPr>
            <w:rFonts w:ascii="Times New Roman" w:hAnsi="Times New Roman" w:cs="Times New Roman"/>
            <w:sz w:val="24"/>
            <w:szCs w:val="24"/>
          </w:rPr>
          <w:fldChar w:fldCharType="begin"/>
        </w:r>
        <w:r w:rsidR="00F848EF" w:rsidRPr="00D26309">
          <w:rPr>
            <w:rFonts w:ascii="Times New Roman" w:hAnsi="Times New Roman" w:cs="Times New Roman"/>
            <w:sz w:val="24"/>
            <w:szCs w:val="24"/>
          </w:rPr>
          <w:instrText xml:space="preserve"> PAGE   \* MERGEFORMAT </w:instrText>
        </w:r>
        <w:r w:rsidR="00FF53B8" w:rsidRPr="00D26309">
          <w:rPr>
            <w:rFonts w:ascii="Times New Roman" w:hAnsi="Times New Roman" w:cs="Times New Roman"/>
            <w:sz w:val="24"/>
            <w:szCs w:val="24"/>
          </w:rPr>
          <w:fldChar w:fldCharType="separate"/>
        </w:r>
        <w:r w:rsidR="008A032F">
          <w:rPr>
            <w:rFonts w:ascii="Times New Roman" w:hAnsi="Times New Roman" w:cs="Times New Roman"/>
            <w:noProof/>
            <w:sz w:val="24"/>
            <w:szCs w:val="24"/>
          </w:rPr>
          <w:t>2</w:t>
        </w:r>
        <w:r w:rsidR="00FF53B8" w:rsidRPr="00D26309">
          <w:rPr>
            <w:rFonts w:ascii="Times New Roman" w:hAnsi="Times New Roman" w:cs="Times New Roman"/>
            <w:sz w:val="24"/>
            <w:szCs w:val="24"/>
          </w:rPr>
          <w:fldChar w:fldCharType="end"/>
        </w:r>
      </w:p>
    </w:sdtContent>
  </w:sdt>
  <w:p w:rsidR="0012690A" w:rsidRDefault="001269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A" w:rsidRPr="0012690A" w:rsidRDefault="00F848EF" w:rsidP="00B346B5">
    <w:pPr>
      <w:jc w:val="center"/>
      <w:rPr>
        <w:rFonts w:ascii="Times New Roman" w:hAnsi="Times New Roman" w:cs="Times New Roman"/>
        <w:sz w:val="24"/>
        <w:szCs w:val="24"/>
      </w:rPr>
    </w:pPr>
    <w:r>
      <w:rPr>
        <w:rFonts w:ascii="Times New Roman" w:hAnsi="Times New Roman" w:cs="Times New Roman"/>
        <w:sz w:val="24"/>
        <w:szCs w:val="24"/>
      </w:rPr>
      <w:t xml:space="preserve">Running head: </w:t>
    </w:r>
    <w:r w:rsidR="00585B0B" w:rsidRPr="00585B0B">
      <w:rPr>
        <w:rFonts w:ascii="Times New Roman" w:hAnsi="Times New Roman" w:cs="Times New Roman"/>
        <w:sz w:val="24"/>
        <w:szCs w:val="24"/>
      </w:rPr>
      <w:t xml:space="preserve">LEISHMANIASES </w:t>
    </w:r>
    <w:sdt>
      <w:sdtPr>
        <w:rPr>
          <w:rFonts w:ascii="Times New Roman" w:hAnsi="Times New Roman" w:cs="Times New Roman"/>
          <w:sz w:val="24"/>
          <w:szCs w:val="24"/>
        </w:rPr>
        <w:id w:val="9513191"/>
        <w:docPartObj>
          <w:docPartGallery w:val="Page Numbers (Top of Page)"/>
          <w:docPartUnique/>
        </w:docPartObj>
      </w:sdtPr>
      <w:sdtContent>
        <w:r>
          <w:rPr>
            <w:rFonts w:ascii="Times New Roman" w:hAnsi="Times New Roman" w:cs="Times New Roman"/>
            <w:sz w:val="24"/>
            <w:szCs w:val="24"/>
          </w:rPr>
          <w:tab/>
        </w:r>
        <w:r w:rsidR="00B346B5">
          <w:rPr>
            <w:rFonts w:ascii="Times New Roman" w:hAnsi="Times New Roman" w:cs="Times New Roman"/>
            <w:sz w:val="24"/>
            <w:szCs w:val="24"/>
          </w:rPr>
          <w:tab/>
        </w:r>
        <w:r w:rsidR="00FF53B8" w:rsidRPr="0012690A">
          <w:rPr>
            <w:rFonts w:ascii="Times New Roman" w:hAnsi="Times New Roman" w:cs="Times New Roman"/>
            <w:sz w:val="24"/>
            <w:szCs w:val="24"/>
          </w:rPr>
          <w:fldChar w:fldCharType="begin"/>
        </w:r>
        <w:r w:rsidRPr="0012690A">
          <w:rPr>
            <w:rFonts w:ascii="Times New Roman" w:hAnsi="Times New Roman" w:cs="Times New Roman"/>
            <w:sz w:val="24"/>
            <w:szCs w:val="24"/>
          </w:rPr>
          <w:instrText xml:space="preserve"> PAGE   \* MERGEFORMAT </w:instrText>
        </w:r>
        <w:r w:rsidR="00FF53B8" w:rsidRPr="0012690A">
          <w:rPr>
            <w:rFonts w:ascii="Times New Roman" w:hAnsi="Times New Roman" w:cs="Times New Roman"/>
            <w:sz w:val="24"/>
            <w:szCs w:val="24"/>
          </w:rPr>
          <w:fldChar w:fldCharType="separate"/>
        </w:r>
        <w:r w:rsidR="008A032F">
          <w:rPr>
            <w:rFonts w:ascii="Times New Roman" w:hAnsi="Times New Roman" w:cs="Times New Roman"/>
            <w:noProof/>
            <w:sz w:val="24"/>
            <w:szCs w:val="24"/>
          </w:rPr>
          <w:t>1</w:t>
        </w:r>
        <w:r w:rsidR="00FF53B8" w:rsidRPr="0012690A">
          <w:rPr>
            <w:rFonts w:ascii="Times New Roman" w:hAnsi="Times New Roman" w:cs="Times New Roman"/>
            <w:sz w:val="24"/>
            <w:szCs w:val="24"/>
          </w:rPr>
          <w:fldChar w:fldCharType="end"/>
        </w:r>
      </w:sdtContent>
    </w:sdt>
  </w:p>
  <w:p w:rsidR="0012690A" w:rsidRDefault="001269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19C0"/>
    <w:multiLevelType w:val="multilevel"/>
    <w:tmpl w:val="2FDC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B1881"/>
    <w:rsid w:val="00077CA7"/>
    <w:rsid w:val="000E793B"/>
    <w:rsid w:val="00113293"/>
    <w:rsid w:val="0012690A"/>
    <w:rsid w:val="001B63A5"/>
    <w:rsid w:val="00270391"/>
    <w:rsid w:val="00325A0B"/>
    <w:rsid w:val="00390545"/>
    <w:rsid w:val="003D4480"/>
    <w:rsid w:val="003D639A"/>
    <w:rsid w:val="00410EAE"/>
    <w:rsid w:val="004135E9"/>
    <w:rsid w:val="00444FF3"/>
    <w:rsid w:val="00463E3A"/>
    <w:rsid w:val="0047565C"/>
    <w:rsid w:val="004939C3"/>
    <w:rsid w:val="00585B0B"/>
    <w:rsid w:val="005901A9"/>
    <w:rsid w:val="0063633A"/>
    <w:rsid w:val="00683510"/>
    <w:rsid w:val="006D44A5"/>
    <w:rsid w:val="006D6EC4"/>
    <w:rsid w:val="0077743A"/>
    <w:rsid w:val="007E0530"/>
    <w:rsid w:val="008A032F"/>
    <w:rsid w:val="008A7CAC"/>
    <w:rsid w:val="008B4A29"/>
    <w:rsid w:val="008D007D"/>
    <w:rsid w:val="00944E38"/>
    <w:rsid w:val="00991D77"/>
    <w:rsid w:val="00992C39"/>
    <w:rsid w:val="009D35E8"/>
    <w:rsid w:val="009D407F"/>
    <w:rsid w:val="00AB1881"/>
    <w:rsid w:val="00B346B5"/>
    <w:rsid w:val="00C03A83"/>
    <w:rsid w:val="00D26309"/>
    <w:rsid w:val="00D54EE6"/>
    <w:rsid w:val="00D7443D"/>
    <w:rsid w:val="00D967C6"/>
    <w:rsid w:val="00E345AE"/>
    <w:rsid w:val="00E71BB6"/>
    <w:rsid w:val="00F344E3"/>
    <w:rsid w:val="00F36E31"/>
    <w:rsid w:val="00F42700"/>
    <w:rsid w:val="00F848EF"/>
    <w:rsid w:val="00FF53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paragraph" w:styleId="Heading1">
    <w:name w:val="heading 1"/>
    <w:basedOn w:val="Normal"/>
    <w:next w:val="Normal"/>
    <w:link w:val="Heading1Char"/>
    <w:uiPriority w:val="9"/>
    <w:qFormat/>
    <w:rsid w:val="00590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01A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1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901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01A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5901A9"/>
    <w:pPr>
      <w:outlineLvl w:val="9"/>
    </w:pPr>
  </w:style>
  <w:style w:type="paragraph" w:styleId="TOC1">
    <w:name w:val="toc 1"/>
    <w:basedOn w:val="Normal"/>
    <w:next w:val="Normal"/>
    <w:autoRedefine/>
    <w:uiPriority w:val="39"/>
    <w:unhideWhenUsed/>
    <w:rsid w:val="005901A9"/>
    <w:pPr>
      <w:spacing w:after="100"/>
    </w:pPr>
  </w:style>
  <w:style w:type="paragraph" w:styleId="TOC2">
    <w:name w:val="toc 2"/>
    <w:basedOn w:val="Normal"/>
    <w:next w:val="Normal"/>
    <w:autoRedefine/>
    <w:uiPriority w:val="39"/>
    <w:unhideWhenUsed/>
    <w:rsid w:val="005901A9"/>
    <w:pPr>
      <w:spacing w:after="100"/>
      <w:ind w:left="220"/>
    </w:pPr>
  </w:style>
  <w:style w:type="character" w:styleId="Hyperlink">
    <w:name w:val="Hyperlink"/>
    <w:basedOn w:val="DefaultParagraphFont"/>
    <w:uiPriority w:val="99"/>
    <w:unhideWhenUsed/>
    <w:rsid w:val="005901A9"/>
    <w:rPr>
      <w:color w:val="0000FF" w:themeColor="hyperlink"/>
      <w:u w:val="single"/>
    </w:rPr>
  </w:style>
  <w:style w:type="paragraph" w:styleId="BalloonText">
    <w:name w:val="Balloon Text"/>
    <w:basedOn w:val="Normal"/>
    <w:link w:val="BalloonTextChar"/>
    <w:uiPriority w:val="99"/>
    <w:semiHidden/>
    <w:unhideWhenUsed/>
    <w:rsid w:val="00590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1A9"/>
    <w:rPr>
      <w:rFonts w:ascii="Tahoma" w:hAnsi="Tahoma" w:cs="Tahoma"/>
      <w:sz w:val="16"/>
      <w:szCs w:val="16"/>
    </w:rPr>
  </w:style>
  <w:style w:type="paragraph" w:styleId="Header">
    <w:name w:val="header"/>
    <w:basedOn w:val="Normal"/>
    <w:link w:val="HeaderChar"/>
    <w:uiPriority w:val="99"/>
    <w:unhideWhenUsed/>
    <w:rsid w:val="00126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90A"/>
  </w:style>
  <w:style w:type="paragraph" w:styleId="Footer">
    <w:name w:val="footer"/>
    <w:basedOn w:val="Normal"/>
    <w:link w:val="FooterChar"/>
    <w:uiPriority w:val="99"/>
    <w:semiHidden/>
    <w:unhideWhenUsed/>
    <w:rsid w:val="001269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690A"/>
  </w:style>
</w:styles>
</file>

<file path=word/webSettings.xml><?xml version="1.0" encoding="utf-8"?>
<w:webSettings xmlns:r="http://schemas.openxmlformats.org/officeDocument/2006/relationships" xmlns:w="http://schemas.openxmlformats.org/wordprocessingml/2006/main">
  <w:divs>
    <w:div w:id="31078953">
      <w:bodyDiv w:val="1"/>
      <w:marLeft w:val="0"/>
      <w:marRight w:val="0"/>
      <w:marTop w:val="0"/>
      <w:marBottom w:val="0"/>
      <w:divBdr>
        <w:top w:val="none" w:sz="0" w:space="0" w:color="auto"/>
        <w:left w:val="none" w:sz="0" w:space="0" w:color="auto"/>
        <w:bottom w:val="none" w:sz="0" w:space="0" w:color="auto"/>
        <w:right w:val="none" w:sz="0" w:space="0" w:color="auto"/>
      </w:divBdr>
    </w:div>
    <w:div w:id="143477444">
      <w:bodyDiv w:val="1"/>
      <w:marLeft w:val="0"/>
      <w:marRight w:val="0"/>
      <w:marTop w:val="0"/>
      <w:marBottom w:val="0"/>
      <w:divBdr>
        <w:top w:val="none" w:sz="0" w:space="0" w:color="auto"/>
        <w:left w:val="none" w:sz="0" w:space="0" w:color="auto"/>
        <w:bottom w:val="none" w:sz="0" w:space="0" w:color="auto"/>
        <w:right w:val="none" w:sz="0" w:space="0" w:color="auto"/>
      </w:divBdr>
    </w:div>
    <w:div w:id="174420011">
      <w:bodyDiv w:val="1"/>
      <w:marLeft w:val="0"/>
      <w:marRight w:val="0"/>
      <w:marTop w:val="0"/>
      <w:marBottom w:val="0"/>
      <w:divBdr>
        <w:top w:val="none" w:sz="0" w:space="0" w:color="auto"/>
        <w:left w:val="none" w:sz="0" w:space="0" w:color="auto"/>
        <w:bottom w:val="none" w:sz="0" w:space="0" w:color="auto"/>
        <w:right w:val="none" w:sz="0" w:space="0" w:color="auto"/>
      </w:divBdr>
    </w:div>
    <w:div w:id="310646197">
      <w:bodyDiv w:val="1"/>
      <w:marLeft w:val="0"/>
      <w:marRight w:val="0"/>
      <w:marTop w:val="0"/>
      <w:marBottom w:val="0"/>
      <w:divBdr>
        <w:top w:val="none" w:sz="0" w:space="0" w:color="auto"/>
        <w:left w:val="none" w:sz="0" w:space="0" w:color="auto"/>
        <w:bottom w:val="none" w:sz="0" w:space="0" w:color="auto"/>
        <w:right w:val="none" w:sz="0" w:space="0" w:color="auto"/>
      </w:divBdr>
    </w:div>
    <w:div w:id="427114979">
      <w:bodyDiv w:val="1"/>
      <w:marLeft w:val="0"/>
      <w:marRight w:val="0"/>
      <w:marTop w:val="0"/>
      <w:marBottom w:val="0"/>
      <w:divBdr>
        <w:top w:val="none" w:sz="0" w:space="0" w:color="auto"/>
        <w:left w:val="none" w:sz="0" w:space="0" w:color="auto"/>
        <w:bottom w:val="none" w:sz="0" w:space="0" w:color="auto"/>
        <w:right w:val="none" w:sz="0" w:space="0" w:color="auto"/>
      </w:divBdr>
    </w:div>
    <w:div w:id="451175052">
      <w:bodyDiv w:val="1"/>
      <w:marLeft w:val="0"/>
      <w:marRight w:val="0"/>
      <w:marTop w:val="0"/>
      <w:marBottom w:val="0"/>
      <w:divBdr>
        <w:top w:val="none" w:sz="0" w:space="0" w:color="auto"/>
        <w:left w:val="none" w:sz="0" w:space="0" w:color="auto"/>
        <w:bottom w:val="none" w:sz="0" w:space="0" w:color="auto"/>
        <w:right w:val="none" w:sz="0" w:space="0" w:color="auto"/>
      </w:divBdr>
    </w:div>
    <w:div w:id="486408751">
      <w:bodyDiv w:val="1"/>
      <w:marLeft w:val="0"/>
      <w:marRight w:val="0"/>
      <w:marTop w:val="0"/>
      <w:marBottom w:val="0"/>
      <w:divBdr>
        <w:top w:val="none" w:sz="0" w:space="0" w:color="auto"/>
        <w:left w:val="none" w:sz="0" w:space="0" w:color="auto"/>
        <w:bottom w:val="none" w:sz="0" w:space="0" w:color="auto"/>
        <w:right w:val="none" w:sz="0" w:space="0" w:color="auto"/>
      </w:divBdr>
    </w:div>
    <w:div w:id="643393861">
      <w:bodyDiv w:val="1"/>
      <w:marLeft w:val="0"/>
      <w:marRight w:val="0"/>
      <w:marTop w:val="0"/>
      <w:marBottom w:val="0"/>
      <w:divBdr>
        <w:top w:val="none" w:sz="0" w:space="0" w:color="auto"/>
        <w:left w:val="none" w:sz="0" w:space="0" w:color="auto"/>
        <w:bottom w:val="none" w:sz="0" w:space="0" w:color="auto"/>
        <w:right w:val="none" w:sz="0" w:space="0" w:color="auto"/>
      </w:divBdr>
    </w:div>
    <w:div w:id="670448868">
      <w:bodyDiv w:val="1"/>
      <w:marLeft w:val="0"/>
      <w:marRight w:val="0"/>
      <w:marTop w:val="0"/>
      <w:marBottom w:val="0"/>
      <w:divBdr>
        <w:top w:val="none" w:sz="0" w:space="0" w:color="auto"/>
        <w:left w:val="none" w:sz="0" w:space="0" w:color="auto"/>
        <w:bottom w:val="none" w:sz="0" w:space="0" w:color="auto"/>
        <w:right w:val="none" w:sz="0" w:space="0" w:color="auto"/>
      </w:divBdr>
      <w:divsChild>
        <w:div w:id="1556816426">
          <w:marLeft w:val="0"/>
          <w:marRight w:val="0"/>
          <w:marTop w:val="0"/>
          <w:marBottom w:val="0"/>
          <w:divBdr>
            <w:top w:val="none" w:sz="0" w:space="0" w:color="auto"/>
            <w:left w:val="none" w:sz="0" w:space="0" w:color="auto"/>
            <w:bottom w:val="none" w:sz="0" w:space="0" w:color="auto"/>
            <w:right w:val="none" w:sz="0" w:space="0" w:color="auto"/>
          </w:divBdr>
        </w:div>
      </w:divsChild>
    </w:div>
    <w:div w:id="682971542">
      <w:bodyDiv w:val="1"/>
      <w:marLeft w:val="0"/>
      <w:marRight w:val="0"/>
      <w:marTop w:val="0"/>
      <w:marBottom w:val="0"/>
      <w:divBdr>
        <w:top w:val="none" w:sz="0" w:space="0" w:color="auto"/>
        <w:left w:val="none" w:sz="0" w:space="0" w:color="auto"/>
        <w:bottom w:val="none" w:sz="0" w:space="0" w:color="auto"/>
        <w:right w:val="none" w:sz="0" w:space="0" w:color="auto"/>
      </w:divBdr>
    </w:div>
    <w:div w:id="696079391">
      <w:bodyDiv w:val="1"/>
      <w:marLeft w:val="0"/>
      <w:marRight w:val="0"/>
      <w:marTop w:val="0"/>
      <w:marBottom w:val="0"/>
      <w:divBdr>
        <w:top w:val="none" w:sz="0" w:space="0" w:color="auto"/>
        <w:left w:val="none" w:sz="0" w:space="0" w:color="auto"/>
        <w:bottom w:val="none" w:sz="0" w:space="0" w:color="auto"/>
        <w:right w:val="none" w:sz="0" w:space="0" w:color="auto"/>
      </w:divBdr>
    </w:div>
    <w:div w:id="819615198">
      <w:bodyDiv w:val="1"/>
      <w:marLeft w:val="0"/>
      <w:marRight w:val="0"/>
      <w:marTop w:val="0"/>
      <w:marBottom w:val="0"/>
      <w:divBdr>
        <w:top w:val="none" w:sz="0" w:space="0" w:color="auto"/>
        <w:left w:val="none" w:sz="0" w:space="0" w:color="auto"/>
        <w:bottom w:val="none" w:sz="0" w:space="0" w:color="auto"/>
        <w:right w:val="none" w:sz="0" w:space="0" w:color="auto"/>
      </w:divBdr>
    </w:div>
    <w:div w:id="1214852051">
      <w:bodyDiv w:val="1"/>
      <w:marLeft w:val="0"/>
      <w:marRight w:val="0"/>
      <w:marTop w:val="0"/>
      <w:marBottom w:val="0"/>
      <w:divBdr>
        <w:top w:val="none" w:sz="0" w:space="0" w:color="auto"/>
        <w:left w:val="none" w:sz="0" w:space="0" w:color="auto"/>
        <w:bottom w:val="none" w:sz="0" w:space="0" w:color="auto"/>
        <w:right w:val="none" w:sz="0" w:space="0" w:color="auto"/>
      </w:divBdr>
    </w:div>
    <w:div w:id="1268468233">
      <w:bodyDiv w:val="1"/>
      <w:marLeft w:val="0"/>
      <w:marRight w:val="0"/>
      <w:marTop w:val="0"/>
      <w:marBottom w:val="0"/>
      <w:divBdr>
        <w:top w:val="none" w:sz="0" w:space="0" w:color="auto"/>
        <w:left w:val="none" w:sz="0" w:space="0" w:color="auto"/>
        <w:bottom w:val="none" w:sz="0" w:space="0" w:color="auto"/>
        <w:right w:val="none" w:sz="0" w:space="0" w:color="auto"/>
      </w:divBdr>
    </w:div>
    <w:div w:id="1525171432">
      <w:bodyDiv w:val="1"/>
      <w:marLeft w:val="0"/>
      <w:marRight w:val="0"/>
      <w:marTop w:val="0"/>
      <w:marBottom w:val="0"/>
      <w:divBdr>
        <w:top w:val="none" w:sz="0" w:space="0" w:color="auto"/>
        <w:left w:val="none" w:sz="0" w:space="0" w:color="auto"/>
        <w:bottom w:val="none" w:sz="0" w:space="0" w:color="auto"/>
        <w:right w:val="none" w:sz="0" w:space="0" w:color="auto"/>
      </w:divBdr>
    </w:div>
    <w:div w:id="1637370894">
      <w:bodyDiv w:val="1"/>
      <w:marLeft w:val="0"/>
      <w:marRight w:val="0"/>
      <w:marTop w:val="0"/>
      <w:marBottom w:val="0"/>
      <w:divBdr>
        <w:top w:val="none" w:sz="0" w:space="0" w:color="auto"/>
        <w:left w:val="none" w:sz="0" w:space="0" w:color="auto"/>
        <w:bottom w:val="none" w:sz="0" w:space="0" w:color="auto"/>
        <w:right w:val="none" w:sz="0" w:space="0" w:color="auto"/>
      </w:divBdr>
    </w:div>
    <w:div w:id="1663972795">
      <w:bodyDiv w:val="1"/>
      <w:marLeft w:val="0"/>
      <w:marRight w:val="0"/>
      <w:marTop w:val="0"/>
      <w:marBottom w:val="0"/>
      <w:divBdr>
        <w:top w:val="none" w:sz="0" w:space="0" w:color="auto"/>
        <w:left w:val="none" w:sz="0" w:space="0" w:color="auto"/>
        <w:bottom w:val="none" w:sz="0" w:space="0" w:color="auto"/>
        <w:right w:val="none" w:sz="0" w:space="0" w:color="auto"/>
      </w:divBdr>
    </w:div>
    <w:div w:id="1718309314">
      <w:bodyDiv w:val="1"/>
      <w:marLeft w:val="0"/>
      <w:marRight w:val="0"/>
      <w:marTop w:val="0"/>
      <w:marBottom w:val="0"/>
      <w:divBdr>
        <w:top w:val="none" w:sz="0" w:space="0" w:color="auto"/>
        <w:left w:val="none" w:sz="0" w:space="0" w:color="auto"/>
        <w:bottom w:val="none" w:sz="0" w:space="0" w:color="auto"/>
        <w:right w:val="none" w:sz="0" w:space="0" w:color="auto"/>
      </w:divBdr>
    </w:div>
    <w:div w:id="1771201335">
      <w:bodyDiv w:val="1"/>
      <w:marLeft w:val="0"/>
      <w:marRight w:val="0"/>
      <w:marTop w:val="0"/>
      <w:marBottom w:val="0"/>
      <w:divBdr>
        <w:top w:val="none" w:sz="0" w:space="0" w:color="auto"/>
        <w:left w:val="none" w:sz="0" w:space="0" w:color="auto"/>
        <w:bottom w:val="none" w:sz="0" w:space="0" w:color="auto"/>
        <w:right w:val="none" w:sz="0" w:space="0" w:color="auto"/>
      </w:divBdr>
      <w:divsChild>
        <w:div w:id="2106534621">
          <w:marLeft w:val="0"/>
          <w:marRight w:val="0"/>
          <w:marTop w:val="0"/>
          <w:marBottom w:val="0"/>
          <w:divBdr>
            <w:top w:val="none" w:sz="0" w:space="0" w:color="auto"/>
            <w:left w:val="none" w:sz="0" w:space="0" w:color="auto"/>
            <w:bottom w:val="none" w:sz="0" w:space="0" w:color="auto"/>
            <w:right w:val="none" w:sz="0" w:space="0" w:color="auto"/>
          </w:divBdr>
        </w:div>
      </w:divsChild>
    </w:div>
    <w:div w:id="1802921315">
      <w:bodyDiv w:val="1"/>
      <w:marLeft w:val="0"/>
      <w:marRight w:val="0"/>
      <w:marTop w:val="0"/>
      <w:marBottom w:val="0"/>
      <w:divBdr>
        <w:top w:val="none" w:sz="0" w:space="0" w:color="auto"/>
        <w:left w:val="none" w:sz="0" w:space="0" w:color="auto"/>
        <w:bottom w:val="none" w:sz="0" w:space="0" w:color="auto"/>
        <w:right w:val="none" w:sz="0" w:space="0" w:color="auto"/>
      </w:divBdr>
    </w:div>
    <w:div w:id="1813909761">
      <w:bodyDiv w:val="1"/>
      <w:marLeft w:val="0"/>
      <w:marRight w:val="0"/>
      <w:marTop w:val="0"/>
      <w:marBottom w:val="0"/>
      <w:divBdr>
        <w:top w:val="none" w:sz="0" w:space="0" w:color="auto"/>
        <w:left w:val="none" w:sz="0" w:space="0" w:color="auto"/>
        <w:bottom w:val="none" w:sz="0" w:space="0" w:color="auto"/>
        <w:right w:val="none" w:sz="0" w:space="0" w:color="auto"/>
      </w:divBdr>
    </w:div>
    <w:div w:id="1914510094">
      <w:bodyDiv w:val="1"/>
      <w:marLeft w:val="0"/>
      <w:marRight w:val="0"/>
      <w:marTop w:val="0"/>
      <w:marBottom w:val="0"/>
      <w:divBdr>
        <w:top w:val="none" w:sz="0" w:space="0" w:color="auto"/>
        <w:left w:val="none" w:sz="0" w:space="0" w:color="auto"/>
        <w:bottom w:val="none" w:sz="0" w:space="0" w:color="auto"/>
        <w:right w:val="none" w:sz="0" w:space="0" w:color="auto"/>
      </w:divBdr>
    </w:div>
    <w:div w:id="1921863556">
      <w:bodyDiv w:val="1"/>
      <w:marLeft w:val="0"/>
      <w:marRight w:val="0"/>
      <w:marTop w:val="0"/>
      <w:marBottom w:val="0"/>
      <w:divBdr>
        <w:top w:val="none" w:sz="0" w:space="0" w:color="auto"/>
        <w:left w:val="none" w:sz="0" w:space="0" w:color="auto"/>
        <w:bottom w:val="none" w:sz="0" w:space="0" w:color="auto"/>
        <w:right w:val="none" w:sz="0" w:space="0" w:color="auto"/>
      </w:divBdr>
    </w:div>
    <w:div w:id="1950165387">
      <w:bodyDiv w:val="1"/>
      <w:marLeft w:val="0"/>
      <w:marRight w:val="0"/>
      <w:marTop w:val="0"/>
      <w:marBottom w:val="0"/>
      <w:divBdr>
        <w:top w:val="none" w:sz="0" w:space="0" w:color="auto"/>
        <w:left w:val="none" w:sz="0" w:space="0" w:color="auto"/>
        <w:bottom w:val="none" w:sz="0" w:space="0" w:color="auto"/>
        <w:right w:val="none" w:sz="0" w:space="0" w:color="auto"/>
      </w:divBdr>
      <w:divsChild>
        <w:div w:id="982656389">
          <w:marLeft w:val="0"/>
          <w:marRight w:val="0"/>
          <w:marTop w:val="0"/>
          <w:marBottom w:val="0"/>
          <w:divBdr>
            <w:top w:val="none" w:sz="0" w:space="0" w:color="auto"/>
            <w:left w:val="none" w:sz="0" w:space="0" w:color="auto"/>
            <w:bottom w:val="none" w:sz="0" w:space="0" w:color="auto"/>
            <w:right w:val="none" w:sz="0" w:space="0" w:color="auto"/>
          </w:divBdr>
        </w:div>
      </w:divsChild>
    </w:div>
    <w:div w:id="1974869032">
      <w:bodyDiv w:val="1"/>
      <w:marLeft w:val="0"/>
      <w:marRight w:val="0"/>
      <w:marTop w:val="0"/>
      <w:marBottom w:val="0"/>
      <w:divBdr>
        <w:top w:val="none" w:sz="0" w:space="0" w:color="auto"/>
        <w:left w:val="none" w:sz="0" w:space="0" w:color="auto"/>
        <w:bottom w:val="none" w:sz="0" w:space="0" w:color="auto"/>
        <w:right w:val="none" w:sz="0" w:space="0" w:color="auto"/>
      </w:divBdr>
      <w:divsChild>
        <w:div w:id="832063176">
          <w:marLeft w:val="0"/>
          <w:marRight w:val="0"/>
          <w:marTop w:val="0"/>
          <w:marBottom w:val="0"/>
          <w:divBdr>
            <w:top w:val="none" w:sz="0" w:space="0" w:color="auto"/>
            <w:left w:val="none" w:sz="0" w:space="0" w:color="auto"/>
            <w:bottom w:val="none" w:sz="0" w:space="0" w:color="auto"/>
            <w:right w:val="none" w:sz="0" w:space="0" w:color="auto"/>
          </w:divBdr>
        </w:div>
      </w:divsChild>
    </w:div>
    <w:div w:id="202547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DFB37B-1D7F-4685-BAAC-E57E4939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3367</Words>
  <Characters>19196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2019-08-07T14:35:00Z</dcterms:created>
  <dcterms:modified xsi:type="dcterms:W3CDTF">2019-08-07T14:35:00Z</dcterms:modified>
</cp:coreProperties>
</file>