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word/stylesWithEffects.xml" ContentType="application/vnd.ms-word.stylesWithEffect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pPr>
        <w:pStyle w:val="Title"/>
      </w:pPr>
      <w:r>
        <w:rPr>
          <w:sz w:val="28"/>
        </w:rPr>
        <w:t xml:space="preserve">Name of University </w:t>
      </w:r>
    </w:p>
    <w:p>
      <w:pPr>
        <w:pStyle w:val="Title"/>
      </w:pPr>
      <w:r>
        <w:rPr>
          <w:sz w:val="28"/>
        </w:rPr>
        <w:t xml:space="preserve">Program of Study </w:t>
      </w:r>
    </w:p>
    <w:p>
      <w:pPr>
        <w:pStyle w:val="Title"/>
      </w:pPr>
    </w:p>
    <w:p>
      <w:pPr>
        <w:pStyle w:val="Title"/>
      </w:pPr>
    </w:p>
    <w:p>
      <w:pPr>
        <w:pStyle w:val="Title"/>
        <w:jc w:val="left"/>
      </w:pPr>
      <w:r>
        <w:rPr>
          <w:b/>
        </w:rPr>
        <w:t>Course Title:</w:t>
      </w:r>
      <w:r>
        <w:rPr>
          <w:b/>
        </w:rPr>
        <w:tab/>
      </w:r>
    </w:p>
    <w:p>
      <w:pPr>
        <w:pStyle w:val="Title"/>
        <w:jc w:val="left"/>
      </w:pPr>
      <w:r>
        <w:rPr>
          <w:b/>
        </w:rPr>
        <w:t>Submitted to:</w:t>
      </w:r>
      <w:r>
        <w:rPr>
          <w:b/>
        </w:rPr>
        <w:tab/>
      </w:r>
      <w:r>
        <w:rPr>
          <w:b/>
        </w:rPr>
        <w:tab/>
      </w:r>
      <w:r>
        <w:rPr>
          <w:b/>
          <w:i/>
        </w:rPr>
        <w:t>[Professor’s Name]</w:t>
      </w:r>
    </w:p>
    <w:p>
      <w:pPr>
        <w:pStyle w:val="Title"/>
        <w:jc w:val="left"/>
        <w:rPr>
          <w:b/>
        </w:rPr>
      </w:pPr>
    </w:p>
    <w:p>
      <w:pPr>
        <w:pStyle w:val="Title"/>
        <w:jc w:val="left"/>
      </w:pPr>
      <w:r>
        <w:rPr>
          <w:b/>
        </w:rPr>
        <w:t>Submitted by:</w:t>
      </w:r>
      <w:r>
        <w:rPr>
          <w:b/>
        </w:rPr>
        <w:tab/>
      </w:r>
      <w:r>
        <w:rPr>
          <w:b/>
        </w:rPr>
        <w:tab/>
      </w:r>
      <w:r>
        <w:rPr>
          <w:b/>
          <w:i/>
        </w:rPr>
        <w:t>[Student’s Name]</w:t>
      </w:r>
    </w:p>
    <w:p>
      <w:pPr>
        <w:pStyle w:val="Title"/>
        <w:jc w:val="left"/>
        <w:ind w:left="1440"/>
        <w:ind w:firstLine="720"/>
      </w:pPr>
      <w:r>
        <w:rPr>
          <w:b/>
          <w:i/>
        </w:rPr>
        <w:t>[Street Address]</w:t>
      </w:r>
    </w:p>
    <w:p>
      <w:pPr>
        <w:pStyle w:val="Title"/>
        <w:jc w:val="left"/>
        <w:ind w:left="1440"/>
        <w:ind w:firstLine="720"/>
      </w:pPr>
      <w:r>
        <w:rPr>
          <w:b/>
          <w:i/>
        </w:rPr>
        <w:t>[City, State and Zip Code]</w:t>
      </w:r>
    </w:p>
    <w:p>
      <w:pPr>
        <w:pStyle w:val="Title"/>
        <w:jc w:val="left"/>
        <w:ind w:left="1440"/>
        <w:ind w:firstLine="720"/>
      </w:pPr>
      <w:r>
        <w:rPr>
          <w:b/>
        </w:rPr>
        <w:t>Work Phone:</w:t>
      </w:r>
      <w:r>
        <w:rPr>
          <w:b/>
        </w:rPr>
        <w:tab/>
      </w:r>
      <w:r>
        <w:rPr>
          <w:b/>
        </w:rPr>
        <w:tab/>
      </w:r>
      <w:r>
        <w:rPr>
          <w:b/>
          <w:i/>
        </w:rPr>
        <w:t>[703-555-1234]</w:t>
      </w:r>
    </w:p>
    <w:p>
      <w:pPr>
        <w:pStyle w:val="Title"/>
        <w:jc w:val="left"/>
        <w:ind w:left="1440"/>
        <w:ind w:firstLine="720"/>
      </w:pPr>
      <w:r>
        <w:rPr>
          <w:b/>
        </w:rPr>
        <w:t>Home</w:t>
      </w:r>
      <w:r>
        <w:rPr>
          <w:b/>
        </w:rPr>
        <w:t>/Cell</w:t>
      </w:r>
      <w:r>
        <w:rPr>
          <w:b/>
        </w:rPr>
        <w:t xml:space="preserve"> Phone:</w:t>
      </w:r>
      <w:r>
        <w:rPr>
          <w:b/>
        </w:rPr>
        <w:tab/>
      </w:r>
      <w:r>
        <w:rPr>
          <w:b/>
          <w:i/>
        </w:rPr>
        <w:t>[804-555-1111]</w:t>
      </w:r>
    </w:p>
    <w:p>
      <w:pPr>
        <w:pStyle w:val="Title"/>
        <w:jc w:val="left"/>
        <w:ind w:left="1440"/>
        <w:ind w:firstLine="720"/>
        <w:rPr>
          <w:b/>
        </w:rPr>
      </w:pPr>
      <w:r>
        <w:rPr>
          <w:b/>
        </w:rPr>
        <w:t>Email:</w:t>
      </w:r>
      <w:r>
        <w:rPr>
          <w:b/>
        </w:rPr>
        <w:tab/>
      </w:r>
      <w:r>
        <w:rPr>
          <w:b/>
        </w:rPr>
        <w:tab/>
      </w:r>
      <w:r>
        <w:rPr>
          <w:b/>
        </w:rPr>
        <w:tab/>
      </w:r>
      <w:hyperlink r:id="rId8">
        <w:r>
          <w:rPr>
            <w:rStyle w:val="Hyperlink"/>
            <w:i/>
          </w:rPr>
          <w:t>name@yourserviceprovider.com</w:t>
        </w:r>
      </w:hyperlink>
    </w:p>
    <w:p>
      <w:pPr>
        <w:pStyle w:val="Title"/>
        <w:jc w:val="left"/>
        <w:rPr>
          <w:b/>
        </w:rPr>
      </w:pPr>
    </w:p>
    <w:p>
      <w:pPr>
        <w:pStyle w:val="Title"/>
        <w:jc w:val="left"/>
      </w:pPr>
      <w:r>
        <w:rPr>
          <w:b/>
        </w:rPr>
        <w:t>Course Location:</w:t>
      </w:r>
      <w:r>
        <w:rPr/>
        <w:tab/>
        <w:t xml:space="preserve">Online </w:t>
      </w:r>
    </w:p>
    <w:p>
      <w:pPr>
        <w:pStyle w:val="Title"/>
        <w:jc w:val="left"/>
        <w:rPr>
          <w:b/>
        </w:rPr>
      </w:pPr>
    </w:p>
    <w:p>
      <w:pPr>
        <w:pStyle w:val="Title"/>
        <w:jc w:val="left"/>
      </w:pPr>
      <w:r>
        <w:rPr>
          <w:b/>
        </w:rPr>
        <w:t>Submission Date:</w:t>
      </w:r>
      <w:r>
        <w:rPr>
          <w:b/>
        </w:rPr>
        <w:tab/>
      </w:r>
      <w:r>
        <w:rPr>
          <w:b/>
          <w:i/>
        </w:rPr>
        <w:t>[Month, Day, Year]</w:t>
      </w:r>
    </w:p>
    <w:p>
      <w:pPr>
        <w:pStyle w:val="Title"/>
        <w:jc w:val="left"/>
      </w:pPr>
    </w:p>
    <w:p>
      <w:pPr>
        <w:pStyle w:val="Title"/>
        <w:jc w:val="left"/>
        <w:rPr>
          <w:b/>
        </w:rPr>
      </w:pPr>
      <w:r>
        <w:rPr>
          <w:b/>
        </w:rPr>
        <w:t>Research Project Title:</w:t>
      </w:r>
      <w:r>
        <w:rPr>
          <w:b/>
        </w:rPr>
        <w:tab/>
        <w:t>LITERATURE REVIEW EXAMPLE</w:t>
      </w:r>
    </w:p>
    <w:p>
      <w:pPr>
        <w:pStyle w:val="Title"/>
        <w:jc w:val="left"/>
        <w:rPr>
          <w:b/>
        </w:rPr>
      </w:pPr>
    </w:p>
    <w:p>
      <w:pPr>
        <w:pStyle w:val="Title"/>
      </w:pPr>
      <w:r>
        <w:rPr/>
        <w:t>THE ECONOMIC IMPACT OF MELAMINE ADULTERATED FOOD ON FOOD AND DRUG ADMINISTRATION RESOURCES</w:t>
      </w:r>
    </w:p>
    <w:p>
      <w:pPr>
        <w:pStyle w:val="Title"/>
      </w:pPr>
    </w:p>
    <w:p>
      <w:pPr>
        <w:pStyle w:val="Title"/>
        <w:jc w:val="left"/>
      </w:pPr>
    </w:p>
    <w:p>
      <w:pPr>
        <w:pStyle w:val="Title"/>
        <w:jc w:val="left"/>
        <w:sectPr>
          <w:headerReference r:id="rId16" w:type="even"/>
          <w:headerReference r:id="rId17" w:type="default"/>
          <w:headerReference r:id="rId18" w:type="first"/>
          <w:footerReference r:id="rId22" w:type="even"/>
          <w:pgSz w:w="12240" w:h="15840"/>
          <w:pgMar w:left="2160" w:right="2160" w:top="1627" w:bottom="1440"/>
        </w:sectPr>
      </w:pPr>
    </w:p>
    <w:p>
      <w:pPr>
        <w:pStyle w:val="Title"/>
        <w:rPr>
          <w:i/>
        </w:rPr>
      </w:pPr>
    </w:p>
    <w:p>
      <w:pPr>
        <w:pStyle w:val="Title"/>
        <w:rPr>
          <w:i/>
        </w:rPr>
      </w:pPr>
    </w:p>
    <w:p>
      <w:pPr>
        <w:pStyle w:val="Title"/>
        <w:rPr>
          <w:i/>
        </w:rPr>
      </w:pPr>
    </w:p>
    <w:p>
      <w:pPr>
        <w:pStyle w:val="Title"/>
        <w:rPr>
          <w:i/>
        </w:rPr>
      </w:pPr>
    </w:p>
    <w:p>
      <w:pPr>
        <w:pStyle w:val="Title"/>
        <w:rPr>
          <w:i/>
        </w:rPr>
      </w:pPr>
    </w:p>
    <w:p>
      <w:pPr>
        <w:pStyle w:val="Title"/>
        <w:rPr>
          <w:i/>
        </w:rPr>
      </w:pPr>
    </w:p>
    <w:p>
      <w:pPr>
        <w:pStyle w:val="Title"/>
        <w:rPr>
          <w:i/>
        </w:rPr>
      </w:pPr>
    </w:p>
    <w:p>
      <w:pPr>
        <w:pStyle w:val="Title"/>
        <w:rPr>
          <w:i/>
        </w:rPr>
      </w:pPr>
    </w:p>
    <w:p>
      <w:pPr>
        <w:pStyle w:val="Normal"/>
        <w:jc w:val="center"/>
        <w:spacing w:line="480" w:lineRule="auto"/>
        <w:rPr>
          <w:b/>
        </w:rPr>
      </w:pPr>
      <w:r>
        <w:rPr>
          <w:b/>
        </w:rPr>
        <w:t>THE ECONOMIC IMPACT OF MELAMINE ADULTERATED FOOD ON FOOD AND DRUG ADMINISTRATION RESOURCES</w:t>
      </w:r>
    </w:p>
    <w:p>
      <w:pPr>
        <w:pStyle w:val="Normal"/>
        <w:jc w:val="center"/>
        <w:rPr>
          <w:b/>
        </w:rPr>
      </w:pPr>
    </w:p>
    <w:p>
      <w:pPr>
        <w:pStyle w:val="Normal"/>
        <w:jc w:val="center"/>
        <w:rPr>
          <w:b/>
        </w:rPr>
      </w:pPr>
    </w:p>
    <w:p>
      <w:pPr>
        <w:pStyle w:val="Normal"/>
        <w:jc w:val="center"/>
        <w:rPr>
          <w:b/>
        </w:rPr>
      </w:pPr>
    </w:p>
    <w:p>
      <w:pPr>
        <w:pStyle w:val="Normal"/>
      </w:pPr>
    </w:p>
    <w:p>
      <w:pPr>
        <w:pStyle w:val="Normal"/>
        <w:jc w:val="center"/>
      </w:pPr>
      <w:r>
        <w:t xml:space="preserve">Course Title </w:t>
      </w:r>
    </w:p>
    <w:p>
      <w:pPr>
        <w:pStyle w:val="Normal"/>
        <w:jc w:val="center"/>
      </w:pPr>
    </w:p>
    <w:p>
      <w:pPr>
        <w:pStyle w:val="Normal"/>
        <w:jc w:val="center"/>
      </w:pPr>
    </w:p>
    <w:p>
      <w:pPr>
        <w:pStyle w:val="Normal"/>
        <w:jc w:val="center"/>
      </w:pPr>
    </w:p>
    <w:p>
      <w:pPr>
        <w:pStyle w:val="Normal"/>
        <w:jc w:val="center"/>
      </w:pPr>
    </w:p>
    <w:p>
      <w:pPr>
        <w:pStyle w:val="Normal"/>
        <w:jc w:val="center"/>
      </w:pPr>
    </w:p>
    <w:p>
      <w:pPr>
        <w:pStyle w:val="Normal"/>
        <w:jc w:val="center"/>
      </w:pPr>
    </w:p>
    <w:p>
      <w:pPr>
        <w:pStyle w:val="Normal"/>
        <w:jc w:val="center"/>
      </w:pPr>
    </w:p>
    <w:p>
      <w:pPr>
        <w:pStyle w:val="Normal"/>
        <w:jc w:val="center"/>
      </w:pPr>
    </w:p>
    <w:p>
      <w:pPr>
        <w:pStyle w:val="Normal"/>
        <w:jc w:val="center"/>
      </w:pPr>
      <w:r>
        <w:rPr/>
        <w:t>Submitted by:</w:t>
      </w:r>
    </w:p>
    <w:p>
      <w:pPr>
        <w:pStyle w:val="Normal"/>
        <w:jc w:val="center"/>
      </w:pPr>
    </w:p>
    <w:p>
      <w:pPr>
        <w:pStyle w:val="Normal"/>
        <w:jc w:val="center"/>
      </w:pPr>
      <w:r>
        <w:t xml:space="preserve">Student Name </w:t>
      </w:r>
    </w:p>
    <w:p>
      <w:pPr>
        <w:pStyle w:val="Normal"/>
        <w:jc w:val="center"/>
      </w:pPr>
    </w:p>
    <w:p>
      <w:pPr>
        <w:pStyle w:val="Normal"/>
        <w:jc w:val="center"/>
      </w:pPr>
    </w:p>
    <w:p>
      <w:pPr>
        <w:pStyle w:val="Normal"/>
        <w:jc w:val="center"/>
      </w:pPr>
    </w:p>
    <w:p>
      <w:pPr>
        <w:pStyle w:val="Normal"/>
        <w:jc w:val="center"/>
      </w:pPr>
      <w:r>
        <w:rPr/>
        <w:t>Project Instructor:</w:t>
      </w:r>
    </w:p>
    <w:p>
      <w:pPr>
        <w:pStyle w:val="Normal"/>
        <w:jc w:val="center"/>
      </w:pPr>
    </w:p>
    <w:p>
      <w:pPr>
        <w:pStyle w:val="Heading8"/>
        <w:rPr>
          <w:i/>
        </w:rPr>
      </w:pPr>
      <w:r>
        <w:rPr>
          <w:i/>
        </w:rPr>
        <w:t xml:space="preserve">Professor'd Name </w:t>
      </w:r>
    </w:p>
    <w:p>
      <w:pPr>
        <w:pStyle w:val="Normal"/>
        <w:jc w:val="center"/>
      </w:pPr>
    </w:p>
    <w:p>
      <w:pPr>
        <w:pStyle w:val="Normal"/>
        <w:jc w:val="center"/>
      </w:pPr>
    </w:p>
    <w:p>
      <w:pPr>
        <w:pStyle w:val="Normal"/>
        <w:jc w:val="center"/>
      </w:pPr>
    </w:p>
    <w:p>
      <w:pPr>
        <w:pStyle w:val="Normal"/>
        <w:jc w:val="center"/>
      </w:pPr>
    </w:p>
    <w:p>
      <w:pPr>
        <w:pStyle w:val="Heading8"/>
        <w:rPr>
          <w:i/>
        </w:rPr>
      </w:pPr>
      <w:r>
        <w:rPr>
          <w:i/>
        </w:rPr>
        <w:t xml:space="preserve"> Month and Year</w:t>
      </w:r>
    </w:p>
    <w:p>
      <w:pPr>
        <w:pStyle w:val="Normal"/>
        <w:jc w:val="center"/>
      </w:pPr>
    </w:p>
    <w:p>
      <w:pPr>
        <w:pStyle w:val="Normal"/>
        <w:jc w:val="center"/>
        <w:spacing w:line="480" w:lineRule="auto"/>
      </w:pPr>
      <w:r>
        <w:rPr/>
        <w:br w:type="page"/>
      </w:r>
      <w:r>
        <w:rPr>
          <w:b/>
          <w:sz w:val="28"/>
        </w:rPr>
        <w:t>Table of Contents</w:t>
      </w:r>
    </w:p>
    <w:p>
      <w:pPr>
        <w:pStyle w:val="Normal"/>
        <w:jc w:val="center"/>
        <w:spacing w:line="480" w:lineRule="auto"/>
      </w:pPr>
    </w:p>
    <w:p>
      <w:pPr>
        <w:pStyle w:val="Normal"/>
        <w:spacing w:line="480" w:lineRule="auto"/>
      </w:pPr>
      <w:r>
        <w:rPr/>
        <w:tab/>
      </w:r>
      <w:r>
        <w:rPr/>
        <w:tab/>
      </w:r>
      <w:r>
        <w:rPr/>
        <w:tab/>
      </w:r>
      <w:r>
        <w:rPr/>
        <w:tab/>
      </w:r>
      <w:r>
        <w:rPr/>
        <w:tab/>
      </w:r>
      <w:r>
        <w:rPr/>
        <w:tab/>
      </w:r>
      <w:r>
        <w:rPr/>
        <w:tab/>
      </w:r>
      <w:r>
        <w:rPr/>
        <w:tab/>
      </w:r>
      <w:r>
        <w:rPr>
          <w:u w:val="single"/>
        </w:rPr>
        <w:t>Page Number</w:t>
      </w:r>
    </w:p>
    <w:p>
      <w:pPr>
        <w:pStyle w:val="Normal"/>
        <w:spacing w:line="480" w:lineRule="auto"/>
        <w:rPr>
          <w:u w:val="single"/>
        </w:rPr>
      </w:pPr>
    </w:p>
    <w:p>
      <w:pPr>
        <w:pStyle w:val="Heading2"/>
        <w:spacing w:before="0" w:after="0" w:line="480" w:lineRule="auto"/>
      </w:pPr>
      <w:r>
        <w:rPr>
          <w:b/>
          <w:i/>
          <w:rFonts w:ascii="Times New Roman" w:hAnsi="Times New Roman"/>
          <w:sz w:val="24"/>
        </w:rPr>
        <w:t>List of Tables</w:t>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t>ii</w:t>
      </w:r>
    </w:p>
    <w:p>
      <w:pPr>
        <w:pStyle w:val="Normal"/>
        <w:spacing w:line="480" w:lineRule="auto"/>
      </w:pPr>
      <w:r>
        <w:rPr/>
        <w:t>List of Figures</w:t>
      </w:r>
      <w:r>
        <w:rPr/>
        <w:tab/>
      </w:r>
      <w:r>
        <w:rPr/>
        <w:tab/>
      </w:r>
      <w:r>
        <w:rPr/>
        <w:tab/>
      </w:r>
      <w:r>
        <w:rPr/>
        <w:tab/>
      </w:r>
      <w:r>
        <w:rPr/>
        <w:tab/>
      </w:r>
      <w:r>
        <w:rPr/>
        <w:tab/>
      </w:r>
      <w:r>
        <w:rPr/>
        <w:tab/>
      </w:r>
      <w:r>
        <w:rPr/>
        <w:tab/>
        <w:t>ii</w:t>
      </w:r>
    </w:p>
    <w:p>
      <w:pPr>
        <w:pStyle w:val="Heading2"/>
        <w:spacing w:before="0" w:after="0" w:line="480" w:lineRule="auto"/>
      </w:pPr>
      <w:r>
        <w:rPr>
          <w:b/>
          <w:i/>
          <w:rFonts w:ascii="Times New Roman" w:hAnsi="Times New Roman"/>
          <w:sz w:val="24"/>
        </w:rPr>
        <w:t>Paper 1</w:t>
      </w:r>
      <w:r>
        <w:rPr>
          <w:b/>
          <w:i/>
          <w:rFonts w:ascii="Times New Roman" w:hAnsi="Times New Roman"/>
          <w:sz w:val="24"/>
        </w:rPr>
        <w:tab/>
      </w:r>
      <w:r>
        <w:rPr>
          <w:b/>
          <w:i/>
          <w:rFonts w:ascii="Times New Roman" w:hAnsi="Times New Roman"/>
          <w:sz w:val="24"/>
        </w:rPr>
        <w:t>Problem Definition</w:t>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t>1</w:t>
      </w:r>
    </w:p>
    <w:p>
      <w:pPr>
        <w:pStyle w:val="Heading2"/>
        <w:spacing w:before="0" w:after="0" w:line="480" w:lineRule="auto"/>
      </w:pPr>
      <w:r>
        <w:rPr>
          <w:b/>
          <w:i/>
          <w:rFonts w:ascii="Times New Roman" w:hAnsi="Times New Roman"/>
          <w:sz w:val="24"/>
        </w:rPr>
        <w:t>Paper 2</w:t>
      </w:r>
      <w:r>
        <w:rPr>
          <w:b/>
          <w:i/>
          <w:rFonts w:ascii="Times New Roman" w:hAnsi="Times New Roman"/>
          <w:sz w:val="24"/>
        </w:rPr>
        <w:tab/>
        <w:t>Literature Review</w:t>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t>7</w:t>
      </w:r>
    </w:p>
    <w:p>
      <w:pPr>
        <w:pStyle w:val="Heading2"/>
        <w:spacing w:before="0" w:after="0" w:line="480" w:lineRule="auto"/>
      </w:pPr>
      <w:r>
        <w:rPr>
          <w:b/>
          <w:i/>
          <w:rFonts w:ascii="Times New Roman" w:hAnsi="Times New Roman"/>
          <w:sz w:val="24"/>
        </w:rPr>
        <w:t>Paper 3</w:t>
      </w:r>
      <w:r>
        <w:rPr>
          <w:b/>
          <w:i/>
          <w:rFonts w:ascii="Times New Roman" w:hAnsi="Times New Roman"/>
          <w:sz w:val="24"/>
        </w:rPr>
        <w:tab/>
        <w:t>Research Methodology</w:t>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t>15</w:t>
      </w:r>
    </w:p>
    <w:p>
      <w:pPr>
        <w:pStyle w:val="Heading2"/>
        <w:spacing w:before="0" w:after="0" w:line="480" w:lineRule="auto"/>
      </w:pPr>
      <w:r>
        <w:rPr>
          <w:b/>
          <w:i/>
          <w:rFonts w:ascii="Times New Roman" w:hAnsi="Times New Roman"/>
          <w:sz w:val="24"/>
        </w:rPr>
        <w:t>Paper 4</w:t>
      </w:r>
      <w:r>
        <w:rPr>
          <w:b/>
          <w:i/>
          <w:rFonts w:ascii="Times New Roman" w:hAnsi="Times New Roman"/>
          <w:sz w:val="24"/>
        </w:rPr>
        <w:tab/>
        <w:t>Data Analysis</w:t>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t>[Future]</w:t>
      </w:r>
    </w:p>
    <w:p>
      <w:pPr>
        <w:pStyle w:val="Heading2"/>
        <w:spacing w:before="0" w:after="0" w:line="480" w:lineRule="auto"/>
      </w:pPr>
      <w:r>
        <w:rPr>
          <w:b/>
          <w:i/>
          <w:rFonts w:ascii="Times New Roman" w:hAnsi="Times New Roman"/>
          <w:sz w:val="24"/>
        </w:rPr>
        <w:t>Paper 5</w:t>
      </w:r>
      <w:r>
        <w:rPr>
          <w:b/>
          <w:i/>
          <w:rFonts w:ascii="Times New Roman" w:hAnsi="Times New Roman"/>
          <w:sz w:val="24"/>
        </w:rPr>
        <w:tab/>
        <w:t>Summary, Conclusions, and Recommendations</w:t>
      </w:r>
      <w:r>
        <w:rPr>
          <w:b/>
          <w:i/>
          <w:rFonts w:ascii="Times New Roman" w:hAnsi="Times New Roman"/>
          <w:sz w:val="24"/>
        </w:rPr>
        <w:tab/>
        <w:t>[Future]</w:t>
      </w:r>
    </w:p>
    <w:p>
      <w:pPr>
        <w:pStyle w:val="Normal"/>
        <w:spacing w:line="480" w:lineRule="auto"/>
      </w:pPr>
      <w:r>
        <w:rPr/>
        <w:t>Terminology and Definitions</w:t>
      </w:r>
      <w:r>
        <w:rPr/>
        <w:tab/>
      </w:r>
      <w:r>
        <w:rPr/>
        <w:tab/>
      </w:r>
      <w:r>
        <w:rPr/>
        <w:tab/>
      </w:r>
      <w:r>
        <w:rPr/>
        <w:tab/>
      </w:r>
      <w:r>
        <w:rPr/>
        <w:tab/>
      </w:r>
      <w:r>
        <w:rPr/>
        <w:tab/>
        <w:t>Page 18</w:t>
      </w:r>
    </w:p>
    <w:p>
      <w:pPr>
        <w:pStyle w:val="Heading2"/>
        <w:spacing w:before="0" w:after="0" w:line="480" w:lineRule="auto"/>
      </w:pPr>
      <w:r>
        <w:rPr>
          <w:b/>
          <w:i/>
          <w:rFonts w:ascii="Times New Roman" w:hAnsi="Times New Roman"/>
          <w:sz w:val="24"/>
        </w:rPr>
        <w:t>References</w:t>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r>
      <w:r>
        <w:rPr>
          <w:b/>
          <w:i/>
          <w:rFonts w:ascii="Times New Roman" w:hAnsi="Times New Roman"/>
          <w:sz w:val="24"/>
        </w:rPr>
        <w:tab/>
        <w:t>Pages 19-22</w:t>
      </w:r>
    </w:p>
    <w:p>
      <w:pPr>
        <w:pStyle w:val="Heading2"/>
        <w:spacing w:before="0" w:after="0" w:line="480" w:lineRule="auto"/>
      </w:pPr>
      <w:r>
        <w:rPr>
          <w:b/>
          <w:i/>
          <w:rFonts w:ascii="Times New Roman" w:hAnsi="Times New Roman"/>
          <w:sz w:val="24"/>
        </w:rPr>
        <w:t>Appendix A</w:t>
      </w:r>
      <w:r>
        <w:rPr>
          <w:b/>
          <w:i/>
          <w:rFonts w:ascii="Times New Roman" w:hAnsi="Times New Roman"/>
          <w:sz w:val="24"/>
        </w:rPr>
        <w:tab/>
        <w:t>Permission to Conduct Study</w:t>
      </w:r>
    </w:p>
    <w:p>
      <w:pPr>
        <w:pStyle w:val="Heading2"/>
        <w:spacing w:before="0" w:after="0" w:line="480" w:lineRule="auto"/>
      </w:pPr>
      <w:r>
        <w:rPr>
          <w:b/>
          <w:i/>
          <w:rFonts w:ascii="Times New Roman" w:hAnsi="Times New Roman"/>
          <w:sz w:val="24"/>
        </w:rPr>
        <w:t>Appendix B</w:t>
      </w:r>
      <w:r>
        <w:rPr>
          <w:b/>
          <w:i/>
          <w:rFonts w:ascii="Times New Roman" w:hAnsi="Times New Roman"/>
          <w:sz w:val="24"/>
        </w:rPr>
        <w:tab/>
        <w:t>Transmittal Letter/Survey Instructions</w:t>
      </w:r>
    </w:p>
    <w:p>
      <w:pPr>
        <w:pStyle w:val="Heading2"/>
        <w:spacing w:before="0" w:after="0" w:line="480" w:lineRule="auto"/>
      </w:pPr>
      <w:r>
        <w:rPr>
          <w:b/>
          <w:i/>
          <w:rFonts w:ascii="Times New Roman" w:hAnsi="Times New Roman"/>
          <w:sz w:val="24"/>
        </w:rPr>
        <w:t>Appendix C</w:t>
      </w:r>
      <w:r>
        <w:rPr>
          <w:b/>
          <w:i/>
          <w:rFonts w:ascii="Times New Roman" w:hAnsi="Times New Roman"/>
          <w:sz w:val="24"/>
        </w:rPr>
        <w:tab/>
        <w:t>Survey/Interview Questions</w:t>
      </w:r>
    </w:p>
    <w:p>
      <w:pPr>
        <w:pStyle w:val="Heading2"/>
        <w:spacing w:before="0" w:after="0" w:line="480" w:lineRule="auto"/>
        <w:rPr>
          <w:b/>
          <w:i/>
          <w:rFonts w:ascii="Times New Roman" w:hAnsi="Times New Roman"/>
          <w:sz w:val="24"/>
        </w:rPr>
      </w:pPr>
    </w:p>
    <w:p>
      <w:pPr>
        <w:pStyle w:val="Heading2"/>
        <w:jc w:val="center"/>
        <w:spacing w:before="0" w:after="0" w:line="480" w:lineRule="auto"/>
        <w:sectPr>
          <w:headerReference r:id="rId19" w:type="default"/>
          <w:footerReference r:id="rId23" w:type="default"/>
          <w:pgNumType w:fmt="lowerRoman"/>
          <w:pgSz w:w="12240" w:h="15840"/>
          <w:pgMar w:left="2160" w:right="2160" w:top="1627" w:bottom="1440"/>
          <w:titlePg/>
        </w:sectPr>
      </w:pPr>
    </w:p>
    <w:p>
      <w:pPr>
        <w:pStyle w:val="Heading2"/>
        <w:jc w:val="center"/>
        <w:spacing w:before="0" w:after="0" w:line="480" w:lineRule="auto"/>
        <w:rPr>
          <w:i/>
          <w:rFonts w:ascii="Times New Roman" w:hAnsi="Times New Roman"/>
        </w:rPr>
      </w:pPr>
      <w:r>
        <w:rPr>
          <w:i/>
          <w:rFonts w:ascii="Times New Roman" w:hAnsi="Times New Roman"/>
        </w:rPr>
        <w:t xml:space="preserve">Paper </w:t>
      </w:r>
      <w:r>
        <w:rPr>
          <w:i/>
          <w:rFonts w:ascii="Times New Roman" w:hAnsi="Times New Roman"/>
        </w:rPr>
        <w:t>2</w:t>
      </w:r>
    </w:p>
    <w:p>
      <w:pPr>
        <w:pStyle w:val="Heading2"/>
        <w:jc w:val="center"/>
        <w:spacing w:before="0" w:after="0" w:line="480" w:lineRule="auto"/>
        <w:rPr>
          <w:i/>
          <w:rFonts w:ascii="Times New Roman" w:hAnsi="Times New Roman"/>
        </w:rPr>
      </w:pPr>
      <w:r>
        <w:rPr>
          <w:i/>
          <w:rFonts w:ascii="Times New Roman" w:hAnsi="Times New Roman"/>
        </w:rPr>
        <w:t>Literature Review</w:t>
      </w:r>
    </w:p>
    <w:p>
      <w:pPr>
        <w:pStyle w:val="Normal"/>
        <w:spacing w:line="480" w:lineRule="auto"/>
      </w:pPr>
    </w:p>
    <w:p>
      <w:pPr>
        <w:pStyle w:val="Normal"/>
        <w:spacing w:line="480" w:lineRule="auto"/>
      </w:pPr>
      <w:r>
        <w:rPr/>
        <w:tab/>
      </w:r>
      <w:r>
        <w:rPr/>
        <w:t>Since melamine adulteration is a relatively new phenomenon, there are scant resources for data. Most papers that have been published have to do with the veterinary angle which studies the pathology of the effects of melamine on animals. Another source for literature has been the publication of new rapid screening analytical laboratory methods that were developed in response to the melamine crisis. Prior to the pet food recalls, such a method did not exist. A third avenue of research reveals many instances of Congressional testimony on the part of food advocacy groups, food industry experts and FDA officials that address the growing problem.  Several articles describe the current food response system within FDA, particularly the Food Protection Plan: a plan put forward by the FDA in November 2007 to address food safety and food borne outbreaks, both intentional and non-intentional. There are also a great many articles written in food chemical publications that provide insight into the time line involved in responding to this emergent situation.</w:t>
      </w:r>
    </w:p>
    <w:p>
      <w:pPr>
        <w:pStyle w:val="Normal"/>
        <w:spacing w:line="480" w:lineRule="auto"/>
      </w:pPr>
      <w:r>
        <w:rPr/>
        <w:tab/>
        <w:t>Most of the articles and testimony concluded that FDA has been starved for resources in recent years and that responding to food emergencies has further stretched their ability to perform their myriad tasks which cover a broad range of regulation. The Center for Science in the Public Interest, a health advocacy organization with 900,000 subscribers, provided Congress with testimony on multiple occasions from July 2007 through February 2008 on food safety. Food related illnesses and deaths since 2006 have been related to a variety of products from spinach to peanut butter to melamine. In each of these cases, and others, the FDA has had to determine the source of the illnesses and then remove the product in question from the U.S. marketplace. Melamine is a particularly worrying problem, since it was an intentional adulteration that went undetected until American pets began dying. In the post- 9/11 world, it is events such as those that carry the most weight in the minds of Americans and Congress. The passage of the Bioterrorism Act in 2002 attempted to secure the food supply with the formation of the Prior Notice Center at FDA. This center, co-located with Customs, requires all food growers, manufacturers, shippers and importers to register with FDA and provide prior notice of their arrival at U.S. borders and ports. This is primarily an administrative review and it failed to prevent entry of the tainted products responsible for the pet deaths related to melamine from China, hot peppers from Mexico, Hepatitis A from green onions grown in Mexico or the current melamine adulterated milk products. In light of this, it is clear that further measures are needed to address the health and safety of imported products, particularly food.</w:t>
      </w:r>
    </w:p>
    <w:p>
      <w:pPr>
        <w:pStyle w:val="Normal"/>
      </w:pPr>
    </w:p>
    <w:p>
      <w:pPr>
        <w:pStyle w:val="Normal"/>
        <w:spacing w:line="480" w:lineRule="auto"/>
      </w:pPr>
      <w:r>
        <w:rPr>
          <w:u w:val="single"/>
        </w:rPr>
        <w:t>Literature Related to Food Safety Structure at FDA</w:t>
      </w:r>
    </w:p>
    <w:p>
      <w:pPr>
        <w:pStyle w:val="Normal"/>
        <w:spacing w:line="480" w:lineRule="auto"/>
      </w:pPr>
      <w:r>
        <w:rPr/>
        <w:tab/>
      </w:r>
      <w:r>
        <w:rPr/>
        <w:tab/>
        <w:t>Food safety has always been a pressing issue in the United States. Even before 9/11, the U.S. General Accounting Office wrote a report on agencies having plans to respond to deliberate contamination of the food supply (GAO/T-RCED-99-256, Aug. 4, 1999). This report, concentrated on how effectively food safety agencies could respond to such a scenario. Their conclusion was that, although both the Department of Agriculture’s Food Safety and Inspection Service (FSIS) and FDA had emergency food safety response systems in place, both agencies would benefit from running various scenarios involving the intentional contamination of the food supply and determine how to improve their systems, based on the results of the exercises.</w:t>
      </w:r>
    </w:p>
    <w:p>
      <w:pPr>
        <w:pStyle w:val="Normal"/>
        <w:spacing w:line="480" w:lineRule="auto"/>
      </w:pPr>
      <w:r>
        <w:rPr/>
        <w:tab/>
        <w:t>In her testimony, (Congressional Hearing, House Energy and Commerce, 7/17/2007), Caroline Smith Dewaal, Director of the Food Safety Center for Science in the Public Interest, deplored the current safety of food in the U.S., particularly imports. She compared import screening methods between FSIS and FDA and her conclusion is that “FDA’s procedures are much less stringent and much less effective” than FSIS’ procedures. She ended her testimony by saying that U.S. food safety laws are over 100 years old and are not equipped to contend with a global market of imports increasing exponentially and, with bioterrorism, a real threat in today’s world.</w:t>
      </w:r>
    </w:p>
    <w:p>
      <w:pPr>
        <w:pStyle w:val="Normal"/>
        <w:spacing w:line="480" w:lineRule="auto"/>
      </w:pPr>
      <w:r>
        <w:rPr/>
        <w:tab/>
        <w:t>Congress has held many hearings on FDA’s role in food safety since March 2007. They initiated several congressional investigations as a result of those hearings. One investigation (Congress Daily, 10/11/2007) reported that “Chinese agricultural and seafood imports increased 346 percent between 1996 and 2006” and that “the Chinese food supply chain fails to meet international food safety standards”. Committees ranging from Health, Education, Labor and Pensions to the Senate Agriculture Appropriations Subcommittee to the House Energy and Commerce Committee and the Committee on Government Reform and Oversight have recommended various remedies to FDA’s shortfalls in the area of food safety as it relates to imports. The common thread among these recommendations is that FDA needs more resources to fulfill their regulatory oversight responsibilities (Congress Daily, 2/27/2008).</w:t>
      </w:r>
    </w:p>
    <w:p>
      <w:pPr>
        <w:pStyle w:val="Normal"/>
        <w:spacing w:line="480" w:lineRule="auto"/>
      </w:pPr>
      <w:r>
        <w:rPr/>
        <w:tab/>
        <w:t>On March 12, 2008, Dr. Sundlof, the Director of the FDA’s Center for Food Safety and Nutrition, testified before the Subcommittee on Oversight and Investigations to unveil the FDA’s Food Protection Plan and the Action Plan for Import Safety to the Congress. The first element of the Food Protection Plan is prevention, which includes increased manufacturer responsibility, risk assessments and the expansion of intervention techniques using risk management. The Action Plan for Imports includes information sharing with foreign food regulatory authorities and third party inspections. The agency is also seeking to have increased recall authority as well as better information exchange during emergencies. Lastly, the FDA has committed to increasing foreign inspections and training of foreign food regulatory officials as well as signed a Memorandum of Agreement (MOA) with China regarding quality standards for Chinese products being exported to the U.S. (</w:t>
      </w:r>
      <w:hyperlink r:id="rId9">
        <w:r>
          <w:rPr>
            <w:rStyle w:val="WPHyperlink"/>
          </w:rPr>
          <w:t>www.hhs.gov/news/facts/foodfeed.html</w:t>
        </w:r>
      </w:hyperlink>
      <w:r>
        <w:rPr/>
        <w:t xml:space="preserve">). </w:t>
      </w:r>
      <w:r>
        <w:rPr/>
        <w:tab/>
      </w:r>
      <w:r>
        <w:rPr/>
        <w:tab/>
      </w:r>
    </w:p>
    <w:p>
      <w:pPr>
        <w:pStyle w:val="Normal"/>
        <w:spacing w:line="480" w:lineRule="auto"/>
      </w:pPr>
      <w:r>
        <w:rPr/>
        <w:tab/>
        <w:t>Sadly, the FDA is again dealing with melamine toxicity, this time in milk and milk containing products. Currently, there have been four deaths and thousands of illnesses reported in Chinese children from acute renal failure after ingesting melamine tainted milk and infant formula. This is a shocking development, especially following on the heels of the pet deaths and illnesses in 2007. In a commentary in TheScientificWorldJOURNAL, the authors state that “as we await greater scientific understanding of this new man-made disease entity, melamine should be avoided. Melamine is not a bona fide nitrogen-containing nutritional protein, but a mala fide one.” (Lattupalli et al, 2008).</w:t>
      </w:r>
    </w:p>
    <w:p>
      <w:pPr>
        <w:pStyle w:val="Normal"/>
        <w:spacing w:line="480" w:lineRule="auto"/>
      </w:pPr>
      <w:r>
        <w:rPr/>
        <w:tab/>
        <w:t>According to Dr. Yang and Dr. Batlle of Northwestern University Feinberg School of Medicine, it appears that melamine and cyanuric acid, an intermediate metabolite of melamine, are non-toxic individually, however, when they are both present, the form crystals that may accumulate in the kidneys and cause renal failure. They also point out that events such as this latest outbreak emphasize the critical role that FDA and other food regulatory agencies play in monitoring and ensuring the safety of our food supply (TheScientificWorldJOURNAL, 2008)</w:t>
      </w:r>
      <w:r>
        <w:rPr>
          <w:u w:val="single"/>
        </w:rPr>
        <w:t>.</w:t>
      </w:r>
    </w:p>
    <w:p>
      <w:pPr>
        <w:pStyle w:val="Normal"/>
        <w:spacing w:before="240" w:line="480" w:lineRule="auto"/>
      </w:pPr>
      <w:r>
        <w:rPr>
          <w:u w:val="single"/>
        </w:rPr>
        <w:t>Literature Related to Animal and Human Illnesses and Deaths and Feed Animals</w:t>
      </w:r>
    </w:p>
    <w:p>
      <w:pPr>
        <w:pStyle w:val="Normal"/>
        <w:spacing w:line="480" w:lineRule="auto"/>
      </w:pPr>
      <w:r>
        <w:rPr/>
        <w:tab/>
        <w:t>The first alert related to pet illness and deaths was sounded by Menu Foods in Kansas March 15, 2007; they had received reports from customers, of pets developing renal disease after consuming their food. When a pattern became clear, Menu Foods reported this to the FDA in April 2007. Within 24 hours, FDA investigators were at the Menu Foods plant in Emporia, Kansas, collecting samples of ingredients and looking for possible sources of contamination. The Forensic Chemistry Center identified a contaminant, melamine, in the wheat gluten, used to make gravy in many types of moist pet food.  (Dr. Steven Sundlof, Congressional Testimony, 4/12/2007). The firm had obtained the wheat gluten from a Chinese supplier. As a result, an import alert and import sampling assignment were issued to detain and sample all shipments of wheat gluten from China or transshipped through China. Numerous pet food companies tested their stores of wheat gluten and performed voluntary recalls of their products that contained melamine. As the event mushroomed, FDA devoted literally hundreds of employees to receiving consumer complaints, inspections, sample collections, sample analyses, veterinary blood and tissue studies and the review of analytical results by compliance officers. Additionally, FDA was responsible for coordinating efforts with FSIS, Customs and Border Protection (CBP), Centers for Disease Control (CDC), Environmental Protection Agency (EPA) and Department of Homeland Security (DHS). (FDA Veterinarian, Vol. XXII, No. II, 2007). The situation escalated as reports surfaced of  “up to 39,000 animals have gotten sick. Others estimate that as many as 3,500 pets have likely died.” (Congress Daily AM, 4/13/2007).</w:t>
      </w:r>
    </w:p>
    <w:p>
      <w:pPr>
        <w:pStyle w:val="Normal"/>
        <w:spacing w:line="480" w:lineRule="auto"/>
      </w:pPr>
      <w:r>
        <w:rPr/>
        <w:tab/>
        <w:t>Within a very short time, it became clear, through media reports and sampling, that other plant based proteins, such as rice protein and corn gluten, also contained melamine. At this point, it became clear that melamine may have found its way into animal feed as well as pet foods. This latest alert meant that FDA had to start sampling all animal and fish feed with vegetable based proteins to prevent the melamine from reaching humans (Food Chemical News, 5/7/2007). Advocate groups such as the Food and Water Watch, demanded the recall of meat from animals who were fed melamine, comparing such action with the meat recall following the 2003 diagnosis of a cow with bovine spongiform encephalitis (BSE) in Washington state (Food Chemical News, 5/14/2007). Shortly afterward, FDA released its Interim Melamine and Analogues Safety/ Risk Assessment, done in partnership with FSIS, CDC, EPA and DHS. Their conclusions were that the products of melamine fed animals, fish and eggs were “very unlikely to pose a human health risk.” (</w:t>
      </w:r>
      <w:hyperlink r:id="rId10">
        <w:r>
          <w:rPr>
            <w:rStyle w:val="WPHyperlink"/>
          </w:rPr>
          <w:t>www.cfsan.fda.gov/%7Edms/melamra.html</w:t>
        </w:r>
      </w:hyperlink>
      <w:r>
        <w:rPr/>
        <w:t>). That was based on available data, including a study in Food and Chemical Toxicology (Baynes et al, 2007) that stated that melamine in pigs was cleared very quickly from the tissues and that little residue rem</w:t>
      </w:r>
      <w:r>
        <w:rPr/>
        <w:t xml:space="preserve">ained to be consumed by humans, </w:t>
      </w:r>
      <w:r>
        <w:rPr/>
        <w:t>and scientific assumptions. This risk assessment was reviewed and concurred with by FDA’s Science Board Advisory Committee, a panel of subject matter experts from outside the agency (Food Chemical News, 6/18/2007). To further follow up on the risks involved with melamine, FDA asked CDC “to use its surveillance network to monitor for signs of human illness, such as increased renal failure, which could indicate contamination of the human food supply.” (FDA Veterinarian, 2007). In addition, FSIS published a notice on May 30 to its stakeholders, soliciting comments on the agency’s responses to melamine and the reasoning behind each of the responses (Food Chemical News, 6/4/2007).</w:t>
      </w:r>
      <w:r>
        <w:rPr/>
        <w:tab/>
      </w:r>
    </w:p>
    <w:p>
      <w:pPr>
        <w:pStyle w:val="Normal"/>
        <w:spacing w:line="480" w:lineRule="auto"/>
      </w:pPr>
      <w:r>
        <w:rPr/>
        <w:tab/>
        <w:t>Further research showed that melamine-cyanuric acid compounds were responsible for the renal failure and subsequent death or illness of dogs and cats (Dobson et al, 2008) and that wheat gluten from China was responsible. The research also shows that there was a similar outbreak of renal failure in dogs in Asia in 2004, which showed similar findings on autopsy (Puschner et al, 2007).</w:t>
      </w:r>
    </w:p>
    <w:p>
      <w:pPr>
        <w:pStyle w:val="Normal"/>
        <w:spacing w:line="480" w:lineRule="auto"/>
      </w:pPr>
      <w:r>
        <w:rPr/>
        <w:tab/>
        <w:t>In October 2008, FDA released a risk assessment on milk containing melamine that has been ingested by humans (Food Chemical News, 10/6/2008, Chemical and Engineering News, 10/13/2008). Their assessment showed that levels of melamine related compounds of less than 2.5 parts per million (ppm) posed little risk to humans.. They were not able to determine a safe limit for infant formula and, as a result, set the safe level of melamine related compounds at zero for those products.</w:t>
      </w:r>
    </w:p>
    <w:p>
      <w:pPr>
        <w:pStyle w:val="Normal"/>
        <w:spacing w:line="480" w:lineRule="auto"/>
      </w:pPr>
      <w:r>
        <w:rPr/>
        <w:tab/>
        <w:t>According to Food Chemical News, Chinese media has estimated that the number of illnesses associated with melamine affected milk has risen to 94,000 (Food Chemical News, 10/13/2008). In light of this data, the FDA has issued an import sampling assignment and import alert for Chinese milk products to screen products entering the U.S. from China (</w:t>
      </w:r>
      <w:hyperlink r:id="rId11"/>
      <w:r>
        <w:rPr>
          <w:u w:val="single"/>
        </w:rPr>
        <w:t>www.fda.gov/ora/fiars/ora_import_ia9930.html).</w:t>
      </w:r>
      <w:r>
        <w:rPr/>
        <w:t xml:space="preserve"> </w:t>
      </w:r>
    </w:p>
    <w:p>
      <w:pPr>
        <w:pStyle w:val="Normal"/>
        <w:spacing w:line="480" w:lineRule="auto"/>
      </w:pPr>
    </w:p>
    <w:p>
      <w:pPr>
        <w:pStyle w:val="Normal"/>
        <w:spacing w:line="480" w:lineRule="auto"/>
      </w:pPr>
      <w:r>
        <w:rPr>
          <w:u w:val="single"/>
        </w:rPr>
        <w:t>Literature Related to Analytical Methods Developed by FDA and FERN for Melamine and Cyanuric Acid</w:t>
      </w:r>
    </w:p>
    <w:p>
      <w:pPr>
        <w:pStyle w:val="Normal"/>
        <w:spacing w:line="480" w:lineRule="auto"/>
      </w:pPr>
      <w:r>
        <w:rPr/>
        <w:t>Throughout the melamine investigations, the aim was to sample products efficiently to allow import districts to release products as soon as possible. To that end, FDA and their state partnerships developed rapid methods for melamine and melamine analogue detection. One such method is described in Agricultural Food Chemistry (Andersen et al, 2008)</w:t>
      </w:r>
      <w:r>
        <w:rPr>
          <w:u w:val="single"/>
        </w:rPr>
        <w:t xml:space="preserve"> </w:t>
      </w:r>
      <w:r>
        <w:rPr/>
        <w:t>in which a method was developed to determine melamine concentration in various types of seafood when fish food became a concern.</w:t>
      </w:r>
    </w:p>
    <w:p>
      <w:pPr>
        <w:pStyle w:val="Normal"/>
        <w:spacing w:line="480" w:lineRule="auto"/>
      </w:pPr>
      <w:r>
        <w:rPr/>
        <w:tab/>
        <w:t>Another analytical method was established by FDA Pacific Regional Laboratory and Forensic Chemistry Center for the detection of melamine, ammeline, ammelide and cyanuric acid in dry proteins (</w:t>
      </w:r>
      <w:hyperlink r:id="rId12">
        <w:r>
          <w:rPr>
            <w:u w:val="single"/>
          </w:rPr>
          <w:t>www.fda.gov/cvm/gcmsmelamine.html</w:t>
        </w:r>
      </w:hyperlink>
      <w:r>
        <w:rPr/>
        <w:t xml:space="preserve">). </w:t>
      </w:r>
    </w:p>
    <w:p>
      <w:pPr>
        <w:pStyle w:val="Normal"/>
        <w:spacing w:line="480" w:lineRule="auto"/>
      </w:pPr>
      <w:r>
        <w:rPr/>
        <w:tab/>
        <w:t>Due to the increased turnaround time of previous methods, FDA’s Center for Food Safety and Nutrition, Division of Bioanalytical Chemistry, developed a rapid enzyme linked immunosorbent assay (ELISA) for use as a rapid and accurate screening method for melamine in food products (Garber, 2007).</w:t>
      </w:r>
    </w:p>
    <w:p>
      <w:pPr>
        <w:pStyle w:val="Normal"/>
        <w:spacing w:before="360" w:line="480" w:lineRule="auto"/>
      </w:pPr>
      <w:r>
        <w:rPr>
          <w:u w:val="single"/>
        </w:rPr>
        <w:t>Summary of the Literature</w:t>
      </w:r>
    </w:p>
    <w:p>
      <w:pPr>
        <w:pStyle w:val="Normal"/>
        <w:spacing w:line="480" w:lineRule="auto"/>
      </w:pPr>
      <w:r>
        <w:rPr/>
        <w:tab/>
        <w:t xml:space="preserve">The literature review shows a wealth of interest in this topic for several reasons: Chinese products have caused a host of problems which range from lead in toys to unsafe drugs to toxic elements in food. The fact that the U.S. and other nations import a tremendous amount of Chinese products makes the problem very concerning. The literature and Congressional testimony supports the fact that there was an impact on FDA resources during the melamine investigations of 2007 and 2008. Those impacts include, but are not limited to, increased employee hours, cost of investigations, sample collections, sample analyses and establishing phone lines to tabulate pet illnesses and deaths in 2007. </w:t>
      </w:r>
    </w:p>
    <w:p>
      <w:pPr>
        <w:pStyle w:val="Normal"/>
        <w:spacing w:line="480" w:lineRule="auto"/>
      </w:pPr>
      <w:r>
        <w:rPr/>
        <w:tab/>
        <w:t xml:space="preserve">As summarized in the literature, it wasn’t originally thought that melamine could harm humans but that theory was turned on its head when several Chinese infants died from melamine adulterated infant formula. FDA faces a constantly changing landscape within this global economy and must constantly come up with ways to protect the American consumer. This often requires new methods to be developed, new relationships to be forged and new paths to be forged. The FDA needs all of its resources to be able to fight the battles that are constant in their regulatory world. </w:t>
      </w:r>
    </w:p>
    <w:p>
      <w:pPr>
        <w:pStyle w:val="Normal"/>
        <w:spacing w:line="480" w:lineRule="auto"/>
      </w:pPr>
    </w:p>
    <w:p>
      <w:pPr>
        <w:pStyle w:val="Heading2"/>
        <w:jc w:val="center"/>
        <w:spacing w:before="0" w:after="0" w:line="480" w:lineRule="auto"/>
      </w:pPr>
      <w:r>
        <w:rPr>
          <w:i/>
          <w:rFonts w:ascii="Times New Roman" w:hAnsi="Times New Roman"/>
          <w:sz w:val="24"/>
          <w:szCs w:val="24"/>
        </w:rPr>
        <w:br w:type="page"/>
      </w:r>
      <w:r>
        <w:rPr>
          <w:i/>
          <w:rFonts w:ascii="Times New Roman" w:hAnsi="Times New Roman"/>
        </w:rPr>
        <w:t>References</w:t>
      </w:r>
    </w:p>
    <w:p>
      <w:pPr>
        <w:pStyle w:val="Normal"/>
        <w:ind w:left="720"/>
        <w:ind w:hanging="720"/>
        <w:spacing w:line="480" w:lineRule="auto"/>
      </w:pPr>
      <w:r>
        <w:rPr/>
        <w:t>Robertson, R.</w:t>
      </w:r>
      <w:r>
        <w:rPr/>
        <w:t xml:space="preserve"> (1999). General Accounting Office, Resources, Community, and Economic Development Division, B-283528, October 27, 1999.</w:t>
      </w:r>
    </w:p>
    <w:p>
      <w:pPr>
        <w:pStyle w:val="Normal"/>
        <w:ind w:left="720"/>
        <w:ind w:hanging="720"/>
        <w:spacing w:line="480" w:lineRule="auto"/>
      </w:pPr>
      <w:r>
        <w:rPr/>
        <w:t xml:space="preserve">Smith, Dewaal, C. (2007). Safety of Food Supply, Committee on House Energy and  </w:t>
      </w:r>
    </w:p>
    <w:p>
      <w:pPr>
        <w:pStyle w:val="Normal"/>
        <w:ind w:left="720"/>
        <w:ind w:hanging="720"/>
        <w:spacing w:line="480" w:lineRule="auto"/>
      </w:pPr>
      <w:r>
        <w:rPr/>
        <w:t xml:space="preserve">              Commerce, Subcommittee on Oversight and Investigations, U.S. House of </w:t>
      </w:r>
    </w:p>
    <w:p>
      <w:pPr>
        <w:pStyle w:val="Normal"/>
        <w:ind w:left="720"/>
        <w:ind w:hanging="720"/>
        <w:spacing w:line="480" w:lineRule="auto"/>
      </w:pPr>
      <w:r>
        <w:rPr/>
        <w:t xml:space="preserve">              Representatives, July 17, 2007.</w:t>
      </w:r>
    </w:p>
    <w:p>
      <w:pPr>
        <w:pStyle w:val="Normal"/>
        <w:ind w:left="720"/>
        <w:ind w:hanging="720"/>
        <w:spacing w:line="480" w:lineRule="auto"/>
      </w:pPr>
      <w:r>
        <w:rPr/>
        <w:t xml:space="preserve">Leonatti, A., and Edney, A. (2007). “Investigators Pan Chinese, FDA Food Safety </w:t>
      </w:r>
    </w:p>
    <w:p>
      <w:pPr>
        <w:pStyle w:val="Normal"/>
        <w:ind w:left="720"/>
        <w:ind w:hanging="720"/>
        <w:spacing w:line="480" w:lineRule="auto"/>
      </w:pPr>
      <w:r>
        <w:rPr/>
        <w:t xml:space="preserve">              Regulation”, CongressDaily, October 11, 2007, p5.</w:t>
      </w:r>
    </w:p>
    <w:p>
      <w:pPr>
        <w:pStyle w:val="Normal"/>
        <w:ind w:left="720"/>
        <w:ind w:hanging="720"/>
        <w:spacing w:line="480" w:lineRule="auto"/>
      </w:pPr>
      <w:r>
        <w:rPr/>
        <w:t xml:space="preserve">Edney, A. (2008). “Panel: FDA Needs $375M More To Address Shortcomings”, </w:t>
      </w:r>
    </w:p>
    <w:p>
      <w:pPr>
        <w:pStyle w:val="Normal"/>
        <w:ind w:left="720"/>
        <w:ind w:hanging="720"/>
        <w:spacing w:line="480" w:lineRule="auto"/>
      </w:pPr>
      <w:r>
        <w:rPr/>
        <w:t xml:space="preserve">             CongressDaily, February 27, 2008, p 12.</w:t>
      </w:r>
    </w:p>
    <w:p>
      <w:pPr>
        <w:pStyle w:val="Normal"/>
        <w:ind w:left="720"/>
        <w:ind w:hanging="720"/>
        <w:spacing w:line="480" w:lineRule="auto"/>
      </w:pPr>
      <w:r>
        <w:rPr/>
        <w:t xml:space="preserve">Sundlof, S. (2008). Statement before Committee on Energy and Commerce, </w:t>
      </w:r>
    </w:p>
    <w:p>
      <w:pPr>
        <w:pStyle w:val="Normal"/>
        <w:ind w:left="720"/>
        <w:ind w:hanging="720"/>
        <w:spacing w:line="480" w:lineRule="auto"/>
      </w:pPr>
      <w:r>
        <w:rPr/>
        <w:t xml:space="preserve">             Subcommittee on Oversight and Investigations, U.S. House of Representatives, </w:t>
      </w:r>
    </w:p>
    <w:p>
      <w:pPr>
        <w:pStyle w:val="Normal"/>
        <w:ind w:left="720"/>
        <w:ind w:hanging="720"/>
        <w:spacing w:line="480" w:lineRule="auto"/>
      </w:pPr>
      <w:r>
        <w:rPr/>
        <w:t xml:space="preserve">             March 12, 2008.</w:t>
      </w:r>
    </w:p>
    <w:p>
      <w:pPr>
        <w:pStyle w:val="Normal"/>
        <w:ind w:left="720"/>
        <w:ind w:hanging="720"/>
        <w:spacing w:line="480" w:lineRule="auto"/>
      </w:pPr>
      <w:r>
        <w:rPr/>
        <w:t xml:space="preserve">U.S. Department of Health and Human Services, Press Office, “New Agreement Will </w:t>
      </w:r>
    </w:p>
    <w:p>
      <w:pPr>
        <w:pStyle w:val="Normal"/>
        <w:ind w:left="720"/>
        <w:ind w:hanging="720"/>
        <w:spacing w:line="480" w:lineRule="auto"/>
      </w:pPr>
      <w:r>
        <w:rPr/>
        <w:t xml:space="preserve">            Enhance the Safety of Food and Feed Imported From the People’s Republic of </w:t>
      </w:r>
    </w:p>
    <w:p>
      <w:pPr>
        <w:pStyle w:val="Normal"/>
        <w:ind w:left="720"/>
        <w:ind w:hanging="720"/>
        <w:spacing w:line="480" w:lineRule="auto"/>
      </w:pPr>
      <w:r>
        <w:rPr/>
        <w:t xml:space="preserve">            China”, December 11, 2007.</w:t>
      </w:r>
    </w:p>
    <w:p>
      <w:pPr>
        <w:pStyle w:val="Normal"/>
        <w:ind w:left="720"/>
        <w:ind w:hanging="720"/>
        <w:spacing w:line="480" w:lineRule="auto"/>
      </w:pPr>
      <w:r>
        <w:rPr/>
        <w:t xml:space="preserve">Lattupali, R., Kolluru, A., and Yee, J. (2008). “Nephrotoxicity of mala fide melamine: </w:t>
      </w:r>
    </w:p>
    <w:p>
      <w:pPr>
        <w:pStyle w:val="Normal"/>
        <w:ind w:left="720"/>
        <w:ind w:hanging="720"/>
        <w:spacing w:line="480" w:lineRule="auto"/>
      </w:pPr>
      <w:r>
        <w:rPr/>
        <w:t xml:space="preserve">             modern era milk scandal.” TheScientificWorldJOURNAL, Vol 8, pp. 949-950. </w:t>
      </w:r>
    </w:p>
    <w:p>
      <w:pPr>
        <w:pStyle w:val="Normal"/>
        <w:ind w:left="720"/>
        <w:ind w:hanging="720"/>
        <w:spacing w:line="480" w:lineRule="auto"/>
      </w:pPr>
      <w:r>
        <w:rPr/>
        <w:t xml:space="preserve">             DOI 10.1100/tsw.2008.134.</w:t>
      </w:r>
    </w:p>
    <w:p>
      <w:pPr>
        <w:pStyle w:val="Normal"/>
        <w:ind w:left="720"/>
        <w:ind w:hanging="720"/>
        <w:spacing w:line="480" w:lineRule="auto"/>
      </w:pPr>
      <w:r>
        <w:rPr/>
        <w:t xml:space="preserve">Yang, V.L., and Batlle, D. (2008). “Acute renal failure from adulteration of milk with </w:t>
      </w:r>
    </w:p>
    <w:p>
      <w:pPr>
        <w:pStyle w:val="Normal"/>
        <w:ind w:left="720"/>
        <w:ind w:hanging="720"/>
        <w:spacing w:line="480" w:lineRule="auto"/>
      </w:pPr>
      <w:r>
        <w:rPr/>
        <w:t xml:space="preserve">              melamine.” TheScientificWorldJOURNAL, Vol 8, pp. 974-975. DOI </w:t>
      </w:r>
    </w:p>
    <w:p>
      <w:pPr>
        <w:pStyle w:val="Normal"/>
        <w:ind w:left="720"/>
        <w:ind w:hanging="720"/>
        <w:spacing w:line="480" w:lineRule="auto"/>
      </w:pPr>
      <w:r>
        <w:rPr/>
        <w:t xml:space="preserve">             10.1100/tsw.2008.137.</w:t>
      </w:r>
    </w:p>
    <w:p>
      <w:pPr>
        <w:pStyle w:val="Normal"/>
        <w:ind w:left="720"/>
        <w:ind w:hanging="720"/>
        <w:spacing w:line="480" w:lineRule="auto"/>
      </w:pPr>
      <w:r>
        <w:rPr/>
        <w:t xml:space="preserve">Sundlof, S. (2007). Statement before Senate Agriculture, Rural Development, and </w:t>
      </w:r>
    </w:p>
    <w:p>
      <w:pPr>
        <w:pStyle w:val="Normal"/>
        <w:ind w:left="720"/>
        <w:ind w:hanging="720"/>
        <w:spacing w:line="480" w:lineRule="auto"/>
      </w:pPr>
      <w:r>
        <w:rPr/>
        <w:t xml:space="preserve">                Related Agencies Appropriations Subcommittee, U.S. Senate, April 12, 2007.</w:t>
      </w:r>
    </w:p>
    <w:p>
      <w:pPr>
        <w:pStyle w:val="Normal"/>
        <w:ind w:left="720"/>
        <w:ind w:hanging="720"/>
        <w:spacing w:line="480" w:lineRule="auto"/>
      </w:pPr>
      <w:r>
        <w:rPr/>
        <w:t xml:space="preserve">Osborne, W. (2007). “Recent Pet Food Recall Extremely Complex”, FDA Veterinarian, </w:t>
      </w:r>
    </w:p>
    <w:p>
      <w:pPr>
        <w:pStyle w:val="Normal"/>
        <w:ind w:left="720"/>
        <w:ind w:hanging="720"/>
        <w:spacing w:line="480" w:lineRule="auto"/>
      </w:pPr>
      <w:r>
        <w:rPr/>
        <w:t xml:space="preserve">                Vol. XXII, No. II, pp. 1-4.</w:t>
      </w:r>
    </w:p>
    <w:p>
      <w:pPr>
        <w:pStyle w:val="Normal"/>
        <w:ind w:left="720"/>
        <w:ind w:hanging="720"/>
        <w:spacing w:line="480" w:lineRule="auto"/>
      </w:pPr>
      <w:r>
        <w:rPr/>
        <w:t xml:space="preserve">Deehan, M. (2007). “Bennett Suggests Pet Food Safety Regulation Be Reworked”, </w:t>
      </w:r>
    </w:p>
    <w:p>
      <w:pPr>
        <w:pStyle w:val="Normal"/>
        <w:ind w:left="720"/>
        <w:ind w:hanging="720"/>
        <w:spacing w:line="480" w:lineRule="auto"/>
      </w:pPr>
      <w:r>
        <w:rPr/>
        <w:t xml:space="preserve">                CongressDaily AM, p 8, April 13, 2007.</w:t>
      </w:r>
    </w:p>
    <w:p>
      <w:pPr>
        <w:pStyle w:val="Normal"/>
        <w:ind w:left="720"/>
        <w:ind w:hanging="720"/>
        <w:spacing w:line="480" w:lineRule="auto"/>
      </w:pPr>
      <w:r>
        <w:rPr/>
        <w:t>Richardson, Z. (2007). “FDA says meat from melamine-fed animals no threat to humans. (INTERAGENCY).” Food Chemical News 49.12, May 7, 2007: 16(2).</w:t>
      </w:r>
    </w:p>
    <w:p>
      <w:pPr>
        <w:pStyle w:val="Normal"/>
        <w:ind w:left="720"/>
        <w:ind w:hanging="720"/>
        <w:spacing w:line="480" w:lineRule="auto"/>
      </w:pPr>
      <w:r>
        <w:rPr/>
        <w:t xml:space="preserve">Sugarman, C. (2007). “Food and Water Watch urges recall of meat from melamine-fed </w:t>
      </w:r>
    </w:p>
    <w:p>
      <w:pPr>
        <w:pStyle w:val="Normal"/>
        <w:ind w:left="720"/>
        <w:ind w:hanging="720"/>
        <w:spacing w:line="480" w:lineRule="auto"/>
      </w:pPr>
      <w:r>
        <w:rPr/>
        <w:tab/>
        <w:t>animals. (USDA).” Food Chemical News 49.13, May 14, 2007: 28(1).</w:t>
      </w:r>
    </w:p>
    <w:p>
      <w:pPr>
        <w:pStyle w:val="Normal"/>
        <w:ind w:left="720"/>
        <w:ind w:hanging="720"/>
        <w:spacing w:line="480" w:lineRule="auto"/>
      </w:pPr>
      <w:r>
        <w:rPr/>
        <w:t xml:space="preserve">U.S. Food and Drug Administration, Center for Food Safety and Nutrition, September 10, 2007, </w:t>
      </w:r>
      <w:hyperlink r:id="rId13">
        <w:r>
          <w:rPr>
            <w:rStyle w:val="Hyperlink"/>
          </w:rPr>
          <w:t>http://www.cfsan.fda.gov/%7Edms/melamra.html</w:t>
        </w:r>
      </w:hyperlink>
      <w:r>
        <w:rPr/>
        <w:t>.</w:t>
      </w:r>
    </w:p>
    <w:p>
      <w:pPr>
        <w:pStyle w:val="Normal"/>
        <w:ind w:left="720"/>
        <w:ind w:hanging="720"/>
        <w:spacing w:line="480" w:lineRule="auto"/>
      </w:pPr>
      <w:r>
        <w:rPr/>
        <w:t>Baynes, R., Smith, G., Mason, S., Barrett, E., Barlow, B., and Riviere, J. (2008).</w:t>
      </w:r>
      <w:r>
        <w:rPr/>
        <w:t xml:space="preserve"> “</w:t>
      </w:r>
      <w:r>
        <w:rPr/>
        <w:t xml:space="preserve">Pharmacokinetics of melamine in pigs following intravenous administration”, </w:t>
      </w:r>
      <w:r>
        <w:rPr/>
        <w:t>F</w:t>
      </w:r>
      <w:r>
        <w:rPr/>
        <w:t>ood and Chemical Toxicology, Vol 46, pp. 1196-1200.</w:t>
      </w:r>
    </w:p>
    <w:p>
      <w:pPr>
        <w:pStyle w:val="Normal"/>
        <w:ind w:left="720"/>
        <w:ind w:hanging="720"/>
        <w:spacing w:line="480" w:lineRule="auto"/>
      </w:pPr>
      <w:r>
        <w:rPr/>
        <w:t>Murphy, J. (2007). “FDA Science Board blesses agency’s melamine risk assessment.</w:t>
      </w:r>
      <w:r>
        <w:rPr/>
        <w:t xml:space="preserve">  </w:t>
      </w:r>
      <w:r>
        <w:rPr/>
        <w:t xml:space="preserve">              (FDA).” Food Chemical News, 49.18, June 18, 2007: 15(2).</w:t>
      </w:r>
    </w:p>
    <w:p>
      <w:pPr>
        <w:pStyle w:val="Normal"/>
        <w:ind w:left="720"/>
        <w:ind w:hanging="720"/>
        <w:spacing w:line="480" w:lineRule="auto"/>
      </w:pPr>
      <w:r>
        <w:rPr/>
        <w:t xml:space="preserve">Richardson, Z. (2007). “FSIS solicits comment on melamine decisions. (Food Safety </w:t>
      </w:r>
      <w:r>
        <w:rPr/>
        <w:t xml:space="preserve">and </w:t>
      </w:r>
      <w:r>
        <w:rPr/>
        <w:t>Inspection Service).” Food Chemical News 49.16, June 4, 2007:17(2).</w:t>
      </w:r>
    </w:p>
    <w:p>
      <w:pPr>
        <w:pStyle w:val="Normal"/>
        <w:ind w:left="720"/>
        <w:ind w:hanging="720"/>
        <w:spacing w:line="480" w:lineRule="auto"/>
      </w:pPr>
      <w:r>
        <w:rPr/>
        <w:t xml:space="preserve">Dobson, R., Motlagh, S., Quijano, M., Cambron, R., Baker, T., Pullen, A., Regg, B., </w:t>
      </w:r>
      <w:r>
        <w:rPr/>
        <w:t>B</w:t>
      </w:r>
      <w:r>
        <w:rPr/>
        <w:t xml:space="preserve">igalow-Kern, A., Vennard, T., Fix, A., Reimschuessel, R., Overmann, G., </w:t>
      </w:r>
      <w:r>
        <w:rPr/>
        <w:t>S</w:t>
      </w:r>
      <w:r>
        <w:rPr/>
        <w:t xml:space="preserve">han, Y., and Daston, G. (2008). “Identification and Characterization of </w:t>
      </w:r>
    </w:p>
    <w:p>
      <w:pPr>
        <w:pStyle w:val="Normal"/>
        <w:ind w:left="720"/>
        <w:ind w:hanging="720"/>
        <w:spacing w:line="480" w:lineRule="auto"/>
      </w:pPr>
      <w:r>
        <w:rPr/>
        <w:t>Toxicity of Contaminants in Pet Food Leadin</w:t>
      </w:r>
      <w:r>
        <w:rPr/>
        <w:t xml:space="preserve">g to an Outbreak of Renal </w:t>
      </w:r>
      <w:r>
        <w:rPr/>
        <w:t>Toxicity</w:t>
      </w:r>
      <w:r>
        <w:rPr/>
        <w:t xml:space="preserve"> in Cats and Dogs”, Toxicological Sciences, Vol 106, No. 1, pp. 251-262.</w:t>
      </w:r>
    </w:p>
    <w:p>
      <w:pPr>
        <w:pStyle w:val="Normal"/>
        <w:ind w:left="720"/>
        <w:ind w:hanging="720"/>
        <w:spacing w:line="480" w:lineRule="auto"/>
      </w:pPr>
      <w:r>
        <w:rPr/>
        <w:t xml:space="preserve">Puschner, B., Poppenga, R., Lowenstine, L., Filigenzi, M.,and Pesavento, P. (2007). </w:t>
      </w:r>
    </w:p>
    <w:p>
      <w:pPr>
        <w:pStyle w:val="Normal"/>
        <w:ind w:left="720"/>
        <w:ind w:hanging="720"/>
        <w:spacing w:line="480" w:lineRule="auto"/>
      </w:pPr>
      <w:r>
        <w:rPr/>
        <w:t xml:space="preserve">             Journal of Veterinary Diagnostic Investigations, Vol 19, pp. 616-624.</w:t>
      </w:r>
    </w:p>
    <w:p>
      <w:pPr>
        <w:pStyle w:val="Normal"/>
        <w:ind w:left="720"/>
        <w:ind w:hanging="720"/>
        <w:spacing w:line="480" w:lineRule="auto"/>
      </w:pPr>
      <w:r>
        <w:rPr/>
        <w:t>Huffman, J. (2008). “FDA issues safety limits for melamine in foods, faces congressional pressure.” Food Chemical News, 50:33, October 6, 2008.</w:t>
      </w:r>
    </w:p>
    <w:p>
      <w:pPr>
        <w:pStyle w:val="Normal"/>
        <w:ind w:left="720"/>
        <w:ind w:hanging="720"/>
        <w:spacing w:line="480" w:lineRule="auto"/>
      </w:pPr>
      <w:r>
        <w:rPr/>
        <w:t>Erickson, B. (2008). Chemical and Engineering News, Vol 86, No 41, October 13, 2008, p 9.</w:t>
      </w:r>
    </w:p>
    <w:p>
      <w:pPr>
        <w:pStyle w:val="Normal"/>
        <w:ind w:left="720"/>
        <w:ind w:hanging="720"/>
        <w:spacing w:line="480" w:lineRule="auto"/>
      </w:pPr>
      <w:r>
        <w:rPr/>
        <w:t>Clapp, S. (2008). “Chinese tainted milk toll may have doubled, reaching 94,000.”, Food Chemical News, 50:34, October 13, 2008.</w:t>
      </w:r>
    </w:p>
    <w:p>
      <w:pPr>
        <w:pStyle w:val="Normal"/>
        <w:ind w:left="720"/>
        <w:ind w:hanging="720"/>
        <w:spacing w:line="480" w:lineRule="auto"/>
      </w:pPr>
      <w:r>
        <w:rPr/>
        <w:t xml:space="preserve">FDA Import Alert 99-30, </w:t>
      </w:r>
      <w:hyperlink r:id="rId14">
        <w:r>
          <w:rPr>
            <w:rStyle w:val="Hyperlink"/>
          </w:rPr>
          <w:t>http://www.fda.gov/ora/fiars/ora_import_alerts.html</w:t>
        </w:r>
      </w:hyperlink>
    </w:p>
    <w:p>
      <w:pPr>
        <w:pStyle w:val="Normal"/>
        <w:ind w:left="720"/>
        <w:ind w:hanging="720"/>
        <w:spacing w:line="480" w:lineRule="auto"/>
      </w:pPr>
      <w:r>
        <w:rPr/>
        <w:t xml:space="preserve">Andersen, W., Turnipseed, S., Karbiwnyk, C, Clark, S., Madson, M., Gieseker, C.,     </w:t>
      </w:r>
    </w:p>
    <w:p>
      <w:pPr>
        <w:pStyle w:val="Normal"/>
        <w:ind w:left="720"/>
        <w:ind w:hanging="720"/>
        <w:spacing w:line="480" w:lineRule="auto"/>
      </w:pPr>
      <w:r>
        <w:rPr/>
        <w:t xml:space="preserve">               Miller, R., Rummel, N., and Reimschuessel, R. (2008). “Detrmination and              </w:t>
      </w:r>
    </w:p>
    <w:p>
      <w:pPr>
        <w:pStyle w:val="Normal"/>
        <w:ind w:left="720"/>
        <w:ind w:hanging="720"/>
        <w:spacing w:line="480" w:lineRule="auto"/>
      </w:pPr>
      <w:r>
        <w:rPr/>
        <w:t xml:space="preserve">               Confirmation of Melamine Residues in Catfish, Trout, Tilapia, Salmon, and </w:t>
      </w:r>
    </w:p>
    <w:p>
      <w:pPr>
        <w:pStyle w:val="Normal"/>
        <w:ind w:left="720"/>
        <w:ind w:hanging="720"/>
        <w:spacing w:line="480" w:lineRule="auto"/>
      </w:pPr>
      <w:r>
        <w:rPr/>
        <w:t xml:space="preserve">               Shrimp by Liquid Chromatography with Tandem Mass Spectrometry”, Journal </w:t>
      </w:r>
    </w:p>
    <w:p>
      <w:pPr>
        <w:pStyle w:val="Normal"/>
        <w:ind w:left="720"/>
        <w:ind w:hanging="720"/>
        <w:spacing w:line="480" w:lineRule="auto"/>
      </w:pPr>
      <w:r>
        <w:rPr/>
        <w:t xml:space="preserve">               of Agricultural and Food Chemistry, Vol 56, No. 12, pp. 4340-4347.</w:t>
      </w:r>
    </w:p>
    <w:p>
      <w:pPr>
        <w:pStyle w:val="Normal"/>
        <w:ind w:left="720"/>
        <w:ind w:hanging="720"/>
        <w:spacing w:line="480" w:lineRule="auto"/>
      </w:pPr>
      <w:r>
        <w:rPr/>
        <w:t xml:space="preserve">Method for Melamine, Ammeline, Ammelide, and Cyanuric Acid, U.S. Food and Drug </w:t>
      </w:r>
    </w:p>
    <w:p>
      <w:pPr>
        <w:pStyle w:val="Normal"/>
        <w:ind w:left="720"/>
        <w:ind w:hanging="720"/>
        <w:spacing w:line="480" w:lineRule="auto"/>
      </w:pPr>
      <w:r>
        <w:rPr/>
        <w:tab/>
        <w:t xml:space="preserve">   Administration, Center for Veterinary Medicine,</w:t>
      </w:r>
    </w:p>
    <w:p>
      <w:pPr>
        <w:pStyle w:val="Normal"/>
        <w:ind w:left="720"/>
        <w:ind w:hanging="720"/>
        <w:spacing w:line="480" w:lineRule="auto"/>
      </w:pPr>
      <w:r>
        <w:rPr/>
        <w:t xml:space="preserve">               </w:t>
      </w:r>
      <w:hyperlink r:id="rId15">
        <w:r>
          <w:rPr>
            <w:rStyle w:val="Hyperlink"/>
          </w:rPr>
          <w:t>http://www.fda.gov/cvm/gcmsmelamine.html</w:t>
        </w:r>
      </w:hyperlink>
    </w:p>
    <w:p>
      <w:pPr>
        <w:pStyle w:val="Normal"/>
        <w:ind w:left="720"/>
        <w:ind w:hanging="720"/>
        <w:spacing w:line="480" w:lineRule="auto"/>
      </w:pPr>
      <w:r>
        <w:rPr/>
        <w:t xml:space="preserve">Garber, E. (2007). “Detection of Melamine Using Commercial Enzyme-Linked      </w:t>
      </w:r>
    </w:p>
    <w:p>
      <w:pPr>
        <w:pStyle w:val="Normal"/>
        <w:ind w:left="720"/>
        <w:ind w:hanging="720"/>
        <w:spacing w:line="480" w:lineRule="auto"/>
      </w:pPr>
      <w:r>
        <w:rPr/>
        <w:t xml:space="preserve">               Immunosorbent Assay Technology, Journal of Food Protection, Vol 71, No 3, </w:t>
      </w:r>
    </w:p>
    <w:p>
      <w:pPr>
        <w:pStyle w:val="Normal"/>
        <w:ind w:left="720"/>
        <w:ind w:hanging="720"/>
        <w:spacing w:line="480" w:lineRule="auto"/>
      </w:pPr>
      <w:r>
        <w:rPr/>
        <w:t xml:space="preserve">               pp. 590-594.</w:t>
      </w:r>
    </w:p>
    <w:sectPr>
      <w:headerReference r:id="rId20" w:type="default"/>
      <w:headerReference r:id="rId21" w:type="first"/>
      <w:footerReference r:id="rId24" w:type="default"/>
      <w:footerReference r:id="rId25" w:type="first"/>
      <w:pgSz w:w="12240" w:h="15840"/>
      <w:pgMar w:left="2160" w:right="1584" w:top="1627" w:bottom="1440"/>
      <w:titlePg/>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Times New Roman"/>
  <w:font w:name="Symbol"/>
  <w:font w:name="Arial"/>
  <w:font w:name="Tahoma"/>
  <w:font w:name="Courier New"/>
  <w:font w:name="Wingdings"/>
  <w:font w:name="Cambria Math"/>
  <w:font w:name="Calibri"/>
  <w:font w:name="Cambria"/>
</w:fonts>
</file>

<file path=word/foot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fldSimple w:instr=" PAGE  \* MERGEFORMAT "/>
  </w:p>
  <w:p>
    <w:pPr>
      <w:pStyle w:val="Footer"/>
    </w:pPr>
  </w:p>
</w:hdr>
</file>

<file path=word/foot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 PAGE  \* MERGEFORMAT ">
      <w:r>
        <w:rPr/>
        <w:t>ii</w:t>
      </w:r>
    </w:fldSimple>
  </w:p>
  <w:p>
    <w:pPr>
      <w:pStyle w:val="Footer"/>
      <w:jc w:val="center"/>
    </w:pPr>
  </w:p>
</w:hdr>
</file>

<file path=word/foot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hdr>
</file>

<file path=word/foot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hd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fldSimple w:instr=" PAGE  \* MERGEFORMAT "/>
  </w:p>
  <w:p>
    <w:pPr>
      <w:pStyle w:val="Header"/>
      <w:ind w:right="360"/>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ind w:right="-900"/>
    </w:pPr>
    <w:r>
      <w:rPr/>
      <w:t>Melamine Impact on FDA Resources</w:t>
    </w:r>
  </w:p>
  <w:p>
    <w:pPr>
      <w:pStyle w:val="Header"/>
      <w:ind w:right="-900"/>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ind w:right="-900"/>
    </w:pPr>
    <w:r>
      <w:rPr/>
      <w:t>Melamine Impact on FDA Resources</w:t>
    </w:r>
  </w:p>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ind w:right="-900"/>
    </w:pPr>
    <w:r>
      <w:rPr/>
      <w:tab/>
      <w:t xml:space="preserve">                                                                                    Melamine Impact on FDA Resources    </w:t>
    </w:r>
    <w:fldSimple w:instr=" PAGE  \* MERGEFORMAT ">
      <w:r>
        <w:rPr/>
        <w:t>12</w:t>
      </w:r>
    </w:fldSimple>
  </w:p>
  <w:p>
    <w:pPr>
      <w:pStyle w:val="Header"/>
      <w:jc w:val="right"/>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ind w:right="-900"/>
    </w:pPr>
    <w:r>
      <w:rPr/>
      <w:t>Melamine Impact on FDA Resources</w:t>
    </w:r>
  </w:p>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2654132">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62218525">
    <w:multiLevelType w:val="hybridMultilevel"/>
    <w:lvl w:ilvl="0">
      <w:numFmt w:val="bullet"/>
      <w:lvlText w:val="•"/>
      <w:start w:val="0"/>
      <w:lvlJc w:val="left"/>
      <w:pPr>
        <w:ind w:left="720"/>
        <w:ind w:hanging="360"/>
      </w:pPr>
      <w:rPr>
        <w:rFonts w:ascii="Times New Roman" w:hAnsi="Times New Roman"/>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306518923">
    <w:multiLevelType w:val="hybridMultilevel"/>
    <w:lvl w:ilvl="0">
      <w:numFmt w:val="bullet"/>
      <w:lvlText w:val=""/>
      <w:start w:val="0"/>
      <w:lvlJc w:val="left"/>
      <w:pPr>
        <w:ind w:left="1080"/>
        <w:ind w:hanging="360"/>
      </w:pPr>
      <w:rPr>
        <w:color w:val="33CCCC"/>
        <w:rFonts w:ascii="Symbol" w:hAnsi="Symbol"/>
      </w:rPr>
    </w:lvl>
    <w:lvl w:ilvl="1">
      <w:numFmt w:val="bullet"/>
      <w:lvlText w:val="o"/>
      <w:start w:val="0"/>
      <w:lvlJc w:val="left"/>
      <w:pPr>
        <w:ind w:left="1368"/>
        <w:ind w:hanging="360"/>
      </w:pPr>
      <w:rPr>
        <w:rFonts w:ascii="Courier New" w:hAnsi="Courier New"/>
      </w:rPr>
    </w:lvl>
    <w:lvl w:ilvl="2">
      <w:numFmt w:val="bullet"/>
      <w:lvlText w:val=""/>
      <w:start w:val="0"/>
      <w:lvlJc w:val="left"/>
      <w:pPr>
        <w:ind w:left="2088"/>
        <w:ind w:hanging="360"/>
      </w:pPr>
      <w:rPr>
        <w:rFonts w:ascii="Wingdings" w:hAnsi="Wingdings"/>
      </w:rPr>
    </w:lvl>
    <w:lvl w:ilvl="3">
      <w:numFmt w:val="bullet"/>
      <w:lvlText w:val=""/>
      <w:start w:val="0"/>
      <w:lvlJc w:val="left"/>
      <w:pPr>
        <w:ind w:left="2808"/>
        <w:ind w:hanging="360"/>
      </w:pPr>
      <w:rPr>
        <w:rFonts w:ascii="Symbol" w:hAnsi="Symbol"/>
      </w:rPr>
    </w:lvl>
    <w:lvl w:ilvl="4">
      <w:numFmt w:val="bullet"/>
      <w:lvlText w:val="o"/>
      <w:start w:val="0"/>
      <w:lvlJc w:val="left"/>
      <w:pPr>
        <w:ind w:left="3528"/>
        <w:ind w:hanging="360"/>
      </w:pPr>
      <w:rPr>
        <w:rFonts w:ascii="Courier New" w:hAnsi="Courier New"/>
      </w:rPr>
    </w:lvl>
    <w:lvl w:ilvl="5">
      <w:numFmt w:val="bullet"/>
      <w:lvlText w:val=""/>
      <w:start w:val="0"/>
      <w:lvlJc w:val="left"/>
      <w:pPr>
        <w:ind w:left="4248"/>
        <w:ind w:hanging="360"/>
      </w:pPr>
      <w:rPr>
        <w:rFonts w:ascii="Wingdings" w:hAnsi="Wingdings"/>
      </w:rPr>
    </w:lvl>
    <w:lvl w:ilvl="6">
      <w:numFmt w:val="bullet"/>
      <w:lvlText w:val=""/>
      <w:start w:val="0"/>
      <w:lvlJc w:val="left"/>
      <w:pPr>
        <w:ind w:left="4968"/>
        <w:ind w:hanging="360"/>
      </w:pPr>
      <w:rPr>
        <w:rFonts w:ascii="Symbol" w:hAnsi="Symbol"/>
      </w:rPr>
    </w:lvl>
    <w:lvl w:ilvl="7">
      <w:numFmt w:val="bullet"/>
      <w:lvlText w:val="o"/>
      <w:start w:val="0"/>
      <w:lvlJc w:val="left"/>
      <w:pPr>
        <w:ind w:left="5688"/>
        <w:ind w:hanging="360"/>
      </w:pPr>
      <w:rPr>
        <w:rFonts w:ascii="Courier New" w:hAnsi="Courier New"/>
      </w:rPr>
    </w:lvl>
    <w:lvl w:ilvl="8">
      <w:numFmt w:val="bullet"/>
      <w:lvlText w:val=""/>
      <w:start w:val="0"/>
      <w:lvlJc w:val="left"/>
      <w:pPr>
        <w:ind w:left="6408"/>
        <w:ind w:hanging="360"/>
      </w:pPr>
      <w:rPr>
        <w:rFonts w:ascii="Wingdings" w:hAnsi="Wingdings"/>
      </w:rPr>
    </w:lvl>
  </w:abstractNum>
  <w:abstractNum w:abstractNumId="310716950">
    <w:multiLevelType w:val="hybridMultilevel"/>
    <w:lvl w:ilvl="0">
      <w:numFmt w:val="bullet"/>
      <w:lvlText w:val="•"/>
      <w:start w:val="0"/>
      <w:lvlJc w:val="left"/>
      <w:pPr>
        <w:ind w:left="720"/>
        <w:ind w:hanging="360"/>
      </w:pPr>
      <w:rPr>
        <w:rFonts w:ascii="Times New Roman" w:hAnsi="Times New Roman"/>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334000423">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337315276">
    <w:multiLevelType w:val="hybridMultilevel"/>
    <w:lvl w:ilvl="0">
      <w:numFmt w:val="bullet"/>
      <w:lvlText w:val="•"/>
      <w:start w:val="0"/>
      <w:lvlJc w:val="left"/>
      <w:pPr>
        <w:ind w:left="720"/>
        <w:ind w:hanging="360"/>
      </w:pPr>
      <w:rPr>
        <w:rFonts w:ascii="Times New Roman" w:hAnsi="Times New Roman"/>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416677901">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462121653">
    <w:multiLevelType w:val="hybridMultilevel"/>
    <w:lvl w:ilvl="0">
      <w:numFmt w:val="bullet"/>
      <w:lvlText w:val=""/>
      <w:start w:val="0"/>
      <w:lvlJc w:val="left"/>
      <w:pPr>
        <w:ind w:left="1080"/>
        <w:ind w:hanging="360"/>
      </w:pPr>
      <w:rPr>
        <w:rFonts w:ascii="Symbol" w:hAnsi="Symbol"/>
      </w:rPr>
    </w:lvl>
    <w:lvl w:ilvl="1">
      <w:numFmt w:val="bullet"/>
      <w:lvlText w:val="o"/>
      <w:start w:val="0"/>
      <w:lvlJc w:val="left"/>
      <w:pPr>
        <w:ind w:left="1800"/>
        <w:ind w:hanging="360"/>
      </w:pPr>
      <w:rPr>
        <w:rFonts w:ascii="Courier New" w:hAnsi="Courier New"/>
      </w:rPr>
    </w:lvl>
    <w:lvl w:ilvl="2">
      <w:numFmt w:val="bullet"/>
      <w:lvlText w:val=""/>
      <w:start w:val="0"/>
      <w:lvlJc w:val="left"/>
      <w:pPr>
        <w:ind w:left="2520"/>
        <w:ind w:hanging="360"/>
      </w:pPr>
      <w:rPr>
        <w:rFonts w:ascii="Wingdings" w:hAnsi="Wingdings"/>
      </w:rPr>
    </w:lvl>
    <w:lvl w:ilvl="3">
      <w:numFmt w:val="bullet"/>
      <w:lvlText w:val=""/>
      <w:start w:val="0"/>
      <w:lvlJc w:val="left"/>
      <w:pPr>
        <w:ind w:left="3240"/>
        <w:ind w:hanging="360"/>
      </w:pPr>
      <w:rPr>
        <w:rFonts w:ascii="Symbol" w:hAnsi="Symbol"/>
      </w:rPr>
    </w:lvl>
    <w:lvl w:ilvl="4">
      <w:numFmt w:val="bullet"/>
      <w:lvlText w:val="o"/>
      <w:start w:val="0"/>
      <w:lvlJc w:val="left"/>
      <w:pPr>
        <w:ind w:left="3960"/>
        <w:ind w:hanging="360"/>
      </w:pPr>
      <w:rPr>
        <w:rFonts w:ascii="Courier New" w:hAnsi="Courier New"/>
      </w:rPr>
    </w:lvl>
    <w:lvl w:ilvl="5">
      <w:numFmt w:val="bullet"/>
      <w:lvlText w:val=""/>
      <w:start w:val="0"/>
      <w:lvlJc w:val="left"/>
      <w:pPr>
        <w:ind w:left="4680"/>
        <w:ind w:hanging="360"/>
      </w:pPr>
      <w:rPr>
        <w:rFonts w:ascii="Wingdings" w:hAnsi="Wingdings"/>
      </w:rPr>
    </w:lvl>
    <w:lvl w:ilvl="6">
      <w:numFmt w:val="bullet"/>
      <w:lvlText w:val=""/>
      <w:start w:val="0"/>
      <w:lvlJc w:val="left"/>
      <w:pPr>
        <w:ind w:left="5400"/>
        <w:ind w:hanging="360"/>
      </w:pPr>
      <w:rPr>
        <w:rFonts w:ascii="Symbol" w:hAnsi="Symbol"/>
      </w:rPr>
    </w:lvl>
    <w:lvl w:ilvl="7">
      <w:numFmt w:val="bullet"/>
      <w:lvlText w:val="o"/>
      <w:start w:val="0"/>
      <w:lvlJc w:val="left"/>
      <w:pPr>
        <w:ind w:left="6120"/>
        <w:ind w:hanging="360"/>
      </w:pPr>
      <w:rPr>
        <w:rFonts w:ascii="Courier New" w:hAnsi="Courier New"/>
      </w:rPr>
    </w:lvl>
    <w:lvl w:ilvl="8">
      <w:numFmt w:val="bullet"/>
      <w:lvlText w:val=""/>
      <w:start w:val="0"/>
      <w:lvlJc w:val="left"/>
      <w:pPr>
        <w:ind w:left="6840"/>
        <w:ind w:hanging="360"/>
      </w:pPr>
      <w:rPr>
        <w:rFonts w:ascii="Wingdings" w:hAnsi="Wingdings"/>
      </w:rPr>
    </w:lvl>
  </w:abstractNum>
  <w:abstractNum w:abstractNumId="493955654">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499663966">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528957063">
    <w:multiLevelType w:val="hybridMultilevel"/>
    <w:lvl w:ilvl="0">
      <w:numFmt w:val="bullet"/>
      <w:lvlText w:val=""/>
      <w:start w:val="0"/>
      <w:lvlJc w:val="left"/>
      <w:pPr>
        <w:ind w:left="1080"/>
        <w:ind w:hanging="360"/>
      </w:pPr>
      <w:rPr>
        <w:rFonts w:ascii="Symbol" w:hAnsi="Symbol"/>
      </w:rPr>
    </w:lvl>
    <w:lvl w:ilvl="1">
      <w:numFmt w:val="bullet"/>
      <w:lvlText w:val="o"/>
      <w:start w:val="0"/>
      <w:lvlJc w:val="left"/>
      <w:pPr>
        <w:ind w:left="1800"/>
        <w:ind w:hanging="360"/>
      </w:pPr>
      <w:rPr>
        <w:rFonts w:ascii="Courier New" w:hAnsi="Courier New"/>
      </w:rPr>
    </w:lvl>
    <w:lvl w:ilvl="2">
      <w:numFmt w:val="bullet"/>
      <w:lvlText w:val=""/>
      <w:start w:val="0"/>
      <w:lvlJc w:val="left"/>
      <w:pPr>
        <w:ind w:left="2520"/>
        <w:ind w:hanging="360"/>
      </w:pPr>
      <w:rPr>
        <w:rFonts w:ascii="Wingdings" w:hAnsi="Wingdings"/>
      </w:rPr>
    </w:lvl>
    <w:lvl w:ilvl="3">
      <w:numFmt w:val="bullet"/>
      <w:lvlText w:val=""/>
      <w:start w:val="0"/>
      <w:lvlJc w:val="left"/>
      <w:pPr>
        <w:ind w:left="3240"/>
        <w:ind w:hanging="360"/>
      </w:pPr>
      <w:rPr>
        <w:rFonts w:ascii="Symbol" w:hAnsi="Symbol"/>
      </w:rPr>
    </w:lvl>
    <w:lvl w:ilvl="4">
      <w:numFmt w:val="bullet"/>
      <w:lvlText w:val="o"/>
      <w:start w:val="0"/>
      <w:lvlJc w:val="left"/>
      <w:pPr>
        <w:ind w:left="3960"/>
        <w:ind w:hanging="360"/>
      </w:pPr>
      <w:rPr>
        <w:rFonts w:ascii="Courier New" w:hAnsi="Courier New"/>
      </w:rPr>
    </w:lvl>
    <w:lvl w:ilvl="5">
      <w:numFmt w:val="bullet"/>
      <w:lvlText w:val=""/>
      <w:start w:val="0"/>
      <w:lvlJc w:val="left"/>
      <w:pPr>
        <w:ind w:left="4680"/>
        <w:ind w:hanging="360"/>
      </w:pPr>
      <w:rPr>
        <w:rFonts w:ascii="Wingdings" w:hAnsi="Wingdings"/>
      </w:rPr>
    </w:lvl>
    <w:lvl w:ilvl="6">
      <w:numFmt w:val="bullet"/>
      <w:lvlText w:val=""/>
      <w:start w:val="0"/>
      <w:lvlJc w:val="left"/>
      <w:pPr>
        <w:ind w:left="5400"/>
        <w:ind w:hanging="360"/>
      </w:pPr>
      <w:rPr>
        <w:rFonts w:ascii="Symbol" w:hAnsi="Symbol"/>
      </w:rPr>
    </w:lvl>
    <w:lvl w:ilvl="7">
      <w:numFmt w:val="bullet"/>
      <w:lvlText w:val="o"/>
      <w:start w:val="0"/>
      <w:lvlJc w:val="left"/>
      <w:pPr>
        <w:ind w:left="6120"/>
        <w:ind w:hanging="360"/>
      </w:pPr>
      <w:rPr>
        <w:rFonts w:ascii="Courier New" w:hAnsi="Courier New"/>
      </w:rPr>
    </w:lvl>
    <w:lvl w:ilvl="8">
      <w:numFmt w:val="bullet"/>
      <w:lvlText w:val=""/>
      <w:start w:val="0"/>
      <w:lvlJc w:val="left"/>
      <w:pPr>
        <w:ind w:left="6840"/>
        <w:ind w:hanging="360"/>
      </w:pPr>
      <w:rPr>
        <w:rFonts w:ascii="Wingdings" w:hAnsi="Wingdings"/>
      </w:rPr>
    </w:lvl>
  </w:abstractNum>
  <w:abstractNum w:abstractNumId="582106203">
    <w:multiLevelType w:val="hybridMultilevel"/>
    <w:lvl w:ilvl="0">
      <w:numFmt w:val="bullet"/>
      <w:lvlText w:val=""/>
      <w:start w:val="0"/>
      <w:lvlJc w:val="left"/>
      <w:pPr>
        <w:ind w:left="1152"/>
        <w:ind w:hanging="360"/>
      </w:pPr>
      <w:rPr>
        <w:color w:val="33CCCC"/>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701394686">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787434775">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856892073">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937980672">
    <w:multiLevelType w:val="hybridMultilevel"/>
    <w:lvl w:ilvl="0">
      <w:numFmt w:val="bullet"/>
      <w:lvlText w:val=""/>
      <w:start w:val="0"/>
      <w:lvlJc w:val="left"/>
      <w:pPr>
        <w:ind w:left="1080"/>
        <w:ind w:hanging="360"/>
      </w:pPr>
      <w:rPr>
        <w:color w:val="33CCCC"/>
        <w:rFonts w:ascii="Symbol" w:hAnsi="Symbol"/>
      </w:rPr>
    </w:lvl>
    <w:lvl w:ilvl="1">
      <w:numFmt w:val="bullet"/>
      <w:lvlText w:val="o"/>
      <w:start w:val="0"/>
      <w:lvlJc w:val="left"/>
      <w:pPr>
        <w:ind w:left="1368"/>
        <w:ind w:hanging="360"/>
      </w:pPr>
      <w:rPr>
        <w:rFonts w:ascii="Courier New" w:hAnsi="Courier New"/>
      </w:rPr>
    </w:lvl>
    <w:lvl w:ilvl="2">
      <w:numFmt w:val="bullet"/>
      <w:lvlText w:val=""/>
      <w:start w:val="0"/>
      <w:lvlJc w:val="left"/>
      <w:pPr>
        <w:ind w:left="2088"/>
        <w:ind w:hanging="360"/>
      </w:pPr>
      <w:rPr>
        <w:rFonts w:ascii="Wingdings" w:hAnsi="Wingdings"/>
      </w:rPr>
    </w:lvl>
    <w:lvl w:ilvl="3">
      <w:numFmt w:val="bullet"/>
      <w:lvlText w:val=""/>
      <w:start w:val="0"/>
      <w:lvlJc w:val="left"/>
      <w:pPr>
        <w:ind w:left="2808"/>
        <w:ind w:hanging="360"/>
      </w:pPr>
      <w:rPr>
        <w:rFonts w:ascii="Symbol" w:hAnsi="Symbol"/>
      </w:rPr>
    </w:lvl>
    <w:lvl w:ilvl="4">
      <w:numFmt w:val="bullet"/>
      <w:lvlText w:val="o"/>
      <w:start w:val="0"/>
      <w:lvlJc w:val="left"/>
      <w:pPr>
        <w:ind w:left="3528"/>
        <w:ind w:hanging="360"/>
      </w:pPr>
      <w:rPr>
        <w:rFonts w:ascii="Courier New" w:hAnsi="Courier New"/>
      </w:rPr>
    </w:lvl>
    <w:lvl w:ilvl="5">
      <w:numFmt w:val="bullet"/>
      <w:lvlText w:val=""/>
      <w:start w:val="0"/>
      <w:lvlJc w:val="left"/>
      <w:pPr>
        <w:ind w:left="4248"/>
        <w:ind w:hanging="360"/>
      </w:pPr>
      <w:rPr>
        <w:rFonts w:ascii="Wingdings" w:hAnsi="Wingdings"/>
      </w:rPr>
    </w:lvl>
    <w:lvl w:ilvl="6">
      <w:numFmt w:val="bullet"/>
      <w:lvlText w:val=""/>
      <w:start w:val="0"/>
      <w:lvlJc w:val="left"/>
      <w:pPr>
        <w:ind w:left="4968"/>
        <w:ind w:hanging="360"/>
      </w:pPr>
      <w:rPr>
        <w:rFonts w:ascii="Symbol" w:hAnsi="Symbol"/>
      </w:rPr>
    </w:lvl>
    <w:lvl w:ilvl="7">
      <w:numFmt w:val="bullet"/>
      <w:lvlText w:val="o"/>
      <w:start w:val="0"/>
      <w:lvlJc w:val="left"/>
      <w:pPr>
        <w:ind w:left="5688"/>
        <w:ind w:hanging="360"/>
      </w:pPr>
      <w:rPr>
        <w:rFonts w:ascii="Courier New" w:hAnsi="Courier New"/>
      </w:rPr>
    </w:lvl>
    <w:lvl w:ilvl="8">
      <w:numFmt w:val="bullet"/>
      <w:lvlText w:val=""/>
      <w:start w:val="0"/>
      <w:lvlJc w:val="left"/>
      <w:pPr>
        <w:ind w:left="6408"/>
        <w:ind w:hanging="360"/>
      </w:pPr>
      <w:rPr>
        <w:rFonts w:ascii="Wingdings" w:hAnsi="Wingdings"/>
      </w:rPr>
    </w:lvl>
  </w:abstractNum>
  <w:abstractNum w:abstractNumId="985814248">
    <w:multiLevelType w:val="hybridMultilevel"/>
    <w:lvl w:ilvl="0">
      <w:numFmt w:val="lowerLetter"/>
      <w:lvlText w:val="%1)"/>
      <w:start w:val="1"/>
      <w:lvlJc w:val="left"/>
      <w:pPr>
        <w:ind w:left="2160"/>
        <w:ind w:hanging="720"/>
      </w:pPr>
      <w:rPr/>
    </w:lvl>
    <w:lvl w:ilvl="1">
      <w:numFmt w:val="lowerLetter"/>
      <w:lvlText w:val="%2."/>
      <w:start w:val="1"/>
      <w:lvlJc w:val="left"/>
      <w:pPr>
        <w:ind w:left="2520"/>
        <w:ind w:hanging="360"/>
      </w:pPr>
      <w:rPr/>
    </w:lvl>
    <w:lvl w:ilvl="2">
      <w:numFmt w:val="lowerRoman"/>
      <w:lvlText w:val="%3."/>
      <w:start w:val="1"/>
      <w:lvlJc w:val="right"/>
      <w:pPr>
        <w:ind w:left="3240"/>
        <w:ind w:hanging="180"/>
      </w:pPr>
      <w:rPr/>
    </w:lvl>
    <w:lvl w:ilvl="3">
      <w:numFmt w:val="decimal"/>
      <w:lvlText w:val="%4."/>
      <w:start w:val="1"/>
      <w:lvlJc w:val="left"/>
      <w:pPr>
        <w:ind w:left="3960"/>
        <w:ind w:hanging="360"/>
      </w:pPr>
      <w:rPr/>
    </w:lvl>
    <w:lvl w:ilvl="4">
      <w:numFmt w:val="lowerLetter"/>
      <w:lvlText w:val="%5."/>
      <w:start w:val="1"/>
      <w:lvlJc w:val="left"/>
      <w:pPr>
        <w:ind w:left="4680"/>
        <w:ind w:hanging="360"/>
      </w:pPr>
      <w:rPr/>
    </w:lvl>
    <w:lvl w:ilvl="5">
      <w:numFmt w:val="lowerRoman"/>
      <w:lvlText w:val="%6."/>
      <w:start w:val="1"/>
      <w:lvlJc w:val="right"/>
      <w:pPr>
        <w:ind w:left="5400"/>
        <w:ind w:hanging="180"/>
      </w:pPr>
      <w:rPr/>
    </w:lvl>
    <w:lvl w:ilvl="6">
      <w:numFmt w:val="decimal"/>
      <w:lvlText w:val="%7."/>
      <w:start w:val="1"/>
      <w:lvlJc w:val="left"/>
      <w:pPr>
        <w:ind w:left="6120"/>
        <w:ind w:hanging="360"/>
      </w:pPr>
      <w:rPr/>
    </w:lvl>
    <w:lvl w:ilvl="7">
      <w:numFmt w:val="lowerLetter"/>
      <w:lvlText w:val="%8."/>
      <w:start w:val="1"/>
      <w:lvlJc w:val="left"/>
      <w:pPr>
        <w:ind w:left="6840"/>
        <w:ind w:hanging="360"/>
      </w:pPr>
      <w:rPr/>
    </w:lvl>
    <w:lvl w:ilvl="8">
      <w:numFmt w:val="lowerRoman"/>
      <w:lvlText w:val="%9."/>
      <w:start w:val="1"/>
      <w:lvlJc w:val="right"/>
      <w:pPr>
        <w:ind w:left="7560"/>
        <w:ind w:hanging="180"/>
      </w:pPr>
      <w:rPr/>
    </w:lvl>
  </w:abstractNum>
  <w:abstractNum w:abstractNumId="1018118239">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019045205">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033771422">
    <w:multiLevelType w:val="hybridMultilevel"/>
    <w:lvl w:ilvl="0">
      <w:numFmt w:val="bullet"/>
      <w:lvlText w:val=""/>
      <w:start w:val="0"/>
      <w:lvlJc w:val="left"/>
      <w:pPr>
        <w:ind w:left="1080"/>
        <w:ind w:hanging="360"/>
      </w:pPr>
      <w:rPr>
        <w:color w:val="33CCCC"/>
        <w:rFonts w:ascii="Symbol" w:hAnsi="Symbol"/>
      </w:rPr>
    </w:lvl>
    <w:lvl w:ilvl="1">
      <w:numFmt w:val="bullet"/>
      <w:lvlText w:val="o"/>
      <w:start w:val="0"/>
      <w:lvlJc w:val="left"/>
      <w:pPr>
        <w:ind w:left="1368"/>
        <w:ind w:hanging="360"/>
      </w:pPr>
      <w:rPr>
        <w:rFonts w:ascii="Courier New" w:hAnsi="Courier New"/>
      </w:rPr>
    </w:lvl>
    <w:lvl w:ilvl="2">
      <w:numFmt w:val="bullet"/>
      <w:lvlText w:val=""/>
      <w:start w:val="0"/>
      <w:lvlJc w:val="left"/>
      <w:pPr>
        <w:ind w:left="2088"/>
        <w:ind w:hanging="360"/>
      </w:pPr>
      <w:rPr>
        <w:rFonts w:ascii="Wingdings" w:hAnsi="Wingdings"/>
      </w:rPr>
    </w:lvl>
    <w:lvl w:ilvl="3">
      <w:numFmt w:val="bullet"/>
      <w:lvlText w:val=""/>
      <w:start w:val="0"/>
      <w:lvlJc w:val="left"/>
      <w:pPr>
        <w:ind w:left="2808"/>
        <w:ind w:hanging="360"/>
      </w:pPr>
      <w:rPr>
        <w:rFonts w:ascii="Symbol" w:hAnsi="Symbol"/>
      </w:rPr>
    </w:lvl>
    <w:lvl w:ilvl="4">
      <w:numFmt w:val="bullet"/>
      <w:lvlText w:val="o"/>
      <w:start w:val="0"/>
      <w:lvlJc w:val="left"/>
      <w:pPr>
        <w:ind w:left="3528"/>
        <w:ind w:hanging="360"/>
      </w:pPr>
      <w:rPr>
        <w:rFonts w:ascii="Courier New" w:hAnsi="Courier New"/>
      </w:rPr>
    </w:lvl>
    <w:lvl w:ilvl="5">
      <w:numFmt w:val="bullet"/>
      <w:lvlText w:val=""/>
      <w:start w:val="0"/>
      <w:lvlJc w:val="left"/>
      <w:pPr>
        <w:ind w:left="4248"/>
        <w:ind w:hanging="360"/>
      </w:pPr>
      <w:rPr>
        <w:rFonts w:ascii="Wingdings" w:hAnsi="Wingdings"/>
      </w:rPr>
    </w:lvl>
    <w:lvl w:ilvl="6">
      <w:numFmt w:val="bullet"/>
      <w:lvlText w:val=""/>
      <w:start w:val="0"/>
      <w:lvlJc w:val="left"/>
      <w:pPr>
        <w:ind w:left="4968"/>
        <w:ind w:hanging="360"/>
      </w:pPr>
      <w:rPr>
        <w:rFonts w:ascii="Symbol" w:hAnsi="Symbol"/>
      </w:rPr>
    </w:lvl>
    <w:lvl w:ilvl="7">
      <w:numFmt w:val="bullet"/>
      <w:lvlText w:val="o"/>
      <w:start w:val="0"/>
      <w:lvlJc w:val="left"/>
      <w:pPr>
        <w:ind w:left="5688"/>
        <w:ind w:hanging="360"/>
      </w:pPr>
      <w:rPr>
        <w:rFonts w:ascii="Courier New" w:hAnsi="Courier New"/>
      </w:rPr>
    </w:lvl>
    <w:lvl w:ilvl="8">
      <w:numFmt w:val="bullet"/>
      <w:lvlText w:val=""/>
      <w:start w:val="0"/>
      <w:lvlJc w:val="left"/>
      <w:pPr>
        <w:ind w:left="6408"/>
        <w:ind w:hanging="360"/>
      </w:pPr>
      <w:rPr>
        <w:rFonts w:ascii="Wingdings" w:hAnsi="Wingdings"/>
      </w:rPr>
    </w:lvl>
  </w:abstractNum>
  <w:abstractNum w:abstractNumId="1114136938">
    <w:multiLevelType w:val="hybridMultilevel"/>
    <w:lvl w:ilvl="0">
      <w:numFmt w:val="decimal"/>
      <w:lvlText w:val="%1."/>
      <w:start w:val="1"/>
      <w:lvlJc w:val="left"/>
      <w:pPr>
        <w:ind w:left="720"/>
        <w:ind w:hanging="360"/>
      </w:pPr>
      <w:rPr/>
    </w:lvl>
    <w:lvl w:ilvl="1">
      <w:numFmt w:val="lowerLetter"/>
      <w:lvlText w:val="%2."/>
      <w:start w:val="1"/>
      <w:lvlJc w:val="left"/>
      <w:pPr>
        <w:ind w:left="1440"/>
        <w:ind w:hanging="360"/>
      </w:pPr>
      <w:rPr/>
    </w:lvl>
    <w:lvl w:ilvl="2">
      <w:numFmt w:val="lowerRoman"/>
      <w:lvlText w:val="%3."/>
      <w:start w:val="1"/>
      <w:lvlJc w:val="right"/>
      <w:pPr>
        <w:ind w:left="2160"/>
        <w:ind w:hanging="180"/>
      </w:pPr>
      <w:rPr/>
    </w:lvl>
    <w:lvl w:ilvl="3">
      <w:numFmt w:val="decimal"/>
      <w:lvlText w:val="%4."/>
      <w:start w:val="1"/>
      <w:lvlJc w:val="left"/>
      <w:pPr>
        <w:ind w:left="2880"/>
        <w:ind w:hanging="360"/>
      </w:pPr>
      <w:rPr/>
    </w:lvl>
    <w:lvl w:ilvl="4">
      <w:numFmt w:val="lowerLetter"/>
      <w:lvlText w:val="%5."/>
      <w:start w:val="1"/>
      <w:lvlJc w:val="left"/>
      <w:pPr>
        <w:ind w:left="3600"/>
        <w:ind w:hanging="360"/>
      </w:pPr>
      <w:rPr/>
    </w:lvl>
    <w:lvl w:ilvl="5">
      <w:numFmt w:val="lowerRoman"/>
      <w:lvlText w:val="%6."/>
      <w:start w:val="1"/>
      <w:lvlJc w:val="right"/>
      <w:pPr>
        <w:ind w:left="4320"/>
        <w:ind w:hanging="180"/>
      </w:pPr>
      <w:rPr/>
    </w:lvl>
    <w:lvl w:ilvl="6">
      <w:numFmt w:val="decimal"/>
      <w:lvlText w:val="%7."/>
      <w:start w:val="1"/>
      <w:lvlJc w:val="left"/>
      <w:pPr>
        <w:ind w:left="5040"/>
        <w:ind w:hanging="360"/>
      </w:pPr>
      <w:rPr/>
    </w:lvl>
    <w:lvl w:ilvl="7">
      <w:numFmt w:val="lowerLetter"/>
      <w:lvlText w:val="%8."/>
      <w:start w:val="1"/>
      <w:lvlJc w:val="left"/>
      <w:pPr>
        <w:ind w:left="5760"/>
        <w:ind w:hanging="360"/>
      </w:pPr>
      <w:rPr/>
    </w:lvl>
    <w:lvl w:ilvl="8">
      <w:numFmt w:val="lowerRoman"/>
      <w:lvlText w:val="%9."/>
      <w:start w:val="1"/>
      <w:lvlJc w:val="right"/>
      <w:pPr>
        <w:ind w:left="6480"/>
        <w:ind w:hanging="180"/>
      </w:pPr>
      <w:rPr/>
    </w:lvl>
  </w:abstractNum>
  <w:abstractNum w:abstractNumId="1145659234">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235313867">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253009103">
    <w:multiLevelType w:val="hybridMultilevel"/>
    <w:lvl w:ilvl="0">
      <w:numFmt w:val="decimal"/>
      <w:lvlText w:val="%1."/>
      <w:start w:val="1"/>
      <w:lvlJc w:val="left"/>
      <w:pPr>
        <w:ind w:left="1080"/>
        <w:ind w:hanging="360"/>
      </w:pPr>
      <w:rPr/>
    </w:lvl>
    <w:lvl w:ilvl="1">
      <w:numFmt w:val="lowerLetter"/>
      <w:lvlText w:val="%2."/>
      <w:start w:val="1"/>
      <w:lvlJc w:val="left"/>
      <w:pPr>
        <w:ind w:left="1800"/>
        <w:ind w:hanging="360"/>
      </w:pPr>
      <w:rPr/>
    </w:lvl>
    <w:lvl w:ilvl="2">
      <w:numFmt w:val="lowerRoman"/>
      <w:lvlText w:val="%3."/>
      <w:start w:val="1"/>
      <w:lvlJc w:val="right"/>
      <w:pPr>
        <w:ind w:left="2520"/>
        <w:ind w:hanging="180"/>
      </w:pPr>
      <w:rPr/>
    </w:lvl>
    <w:lvl w:ilvl="3">
      <w:numFmt w:val="decimal"/>
      <w:lvlText w:val="%4."/>
      <w:start w:val="1"/>
      <w:lvlJc w:val="left"/>
      <w:pPr>
        <w:ind w:left="3240"/>
        <w:ind w:hanging="360"/>
      </w:pPr>
      <w:rPr/>
    </w:lvl>
    <w:lvl w:ilvl="4">
      <w:numFmt w:val="lowerLetter"/>
      <w:lvlText w:val="%5."/>
      <w:start w:val="1"/>
      <w:lvlJc w:val="left"/>
      <w:pPr>
        <w:ind w:left="3960"/>
        <w:ind w:hanging="360"/>
      </w:pPr>
      <w:rPr/>
    </w:lvl>
    <w:lvl w:ilvl="5">
      <w:numFmt w:val="lowerRoman"/>
      <w:lvlText w:val="%6."/>
      <w:start w:val="1"/>
      <w:lvlJc w:val="right"/>
      <w:pPr>
        <w:ind w:left="4680"/>
        <w:ind w:hanging="180"/>
      </w:pPr>
      <w:rPr/>
    </w:lvl>
    <w:lvl w:ilvl="6">
      <w:numFmt w:val="decimal"/>
      <w:lvlText w:val="%7."/>
      <w:start w:val="1"/>
      <w:lvlJc w:val="left"/>
      <w:pPr>
        <w:ind w:left="5400"/>
        <w:ind w:hanging="360"/>
      </w:pPr>
      <w:rPr/>
    </w:lvl>
    <w:lvl w:ilvl="7">
      <w:numFmt w:val="lowerLetter"/>
      <w:lvlText w:val="%8."/>
      <w:start w:val="1"/>
      <w:lvlJc w:val="left"/>
      <w:pPr>
        <w:ind w:left="6120"/>
        <w:ind w:hanging="360"/>
      </w:pPr>
      <w:rPr/>
    </w:lvl>
    <w:lvl w:ilvl="8">
      <w:numFmt w:val="lowerRoman"/>
      <w:lvlText w:val="%9."/>
      <w:start w:val="1"/>
      <w:lvlJc w:val="right"/>
      <w:pPr>
        <w:ind w:left="6840"/>
        <w:ind w:hanging="180"/>
      </w:pPr>
      <w:rPr/>
    </w:lvl>
  </w:abstractNum>
  <w:abstractNum w:abstractNumId="1333945103">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389651279">
    <w:multiLevelType w:val="hybridMultilevel"/>
    <w:lvl w:ilvl="0">
      <w:numFmt w:val="decimal"/>
      <w:lvlText w:val="%1."/>
      <w:start w:val="1"/>
      <w:lvlJc w:val="left"/>
      <w:pPr>
        <w:ind w:left="720"/>
        <w:ind w:hanging="360"/>
      </w:pPr>
      <w:rPr/>
    </w:lvl>
    <w:lvl w:ilvl="1">
      <w:numFmt w:val="lowerLetter"/>
      <w:lvlText w:val="%2."/>
      <w:start w:val="1"/>
      <w:lvlJc w:val="left"/>
      <w:pPr>
        <w:ind w:left="1440"/>
        <w:ind w:hanging="360"/>
      </w:pPr>
      <w:rPr/>
    </w:lvl>
    <w:lvl w:ilvl="2">
      <w:numFmt w:val="lowerRoman"/>
      <w:lvlText w:val="%3."/>
      <w:start w:val="1"/>
      <w:lvlJc w:val="right"/>
      <w:pPr>
        <w:ind w:left="2160"/>
        <w:ind w:hanging="180"/>
      </w:pPr>
      <w:rPr/>
    </w:lvl>
    <w:lvl w:ilvl="3">
      <w:numFmt w:val="decimal"/>
      <w:lvlText w:val="%4."/>
      <w:start w:val="1"/>
      <w:lvlJc w:val="left"/>
      <w:pPr>
        <w:ind w:left="2880"/>
        <w:ind w:hanging="360"/>
      </w:pPr>
      <w:rPr/>
    </w:lvl>
    <w:lvl w:ilvl="4">
      <w:numFmt w:val="lowerLetter"/>
      <w:lvlText w:val="%5."/>
      <w:start w:val="1"/>
      <w:lvlJc w:val="left"/>
      <w:pPr>
        <w:ind w:left="3600"/>
        <w:ind w:hanging="360"/>
      </w:pPr>
      <w:rPr/>
    </w:lvl>
    <w:lvl w:ilvl="5">
      <w:numFmt w:val="lowerRoman"/>
      <w:lvlText w:val="%6."/>
      <w:start w:val="1"/>
      <w:lvlJc w:val="right"/>
      <w:pPr>
        <w:ind w:left="4320"/>
        <w:ind w:hanging="180"/>
      </w:pPr>
      <w:rPr/>
    </w:lvl>
    <w:lvl w:ilvl="6">
      <w:numFmt w:val="decimal"/>
      <w:lvlText w:val="%7."/>
      <w:start w:val="1"/>
      <w:lvlJc w:val="left"/>
      <w:pPr>
        <w:ind w:left="5040"/>
        <w:ind w:hanging="360"/>
      </w:pPr>
      <w:rPr/>
    </w:lvl>
    <w:lvl w:ilvl="7">
      <w:numFmt w:val="lowerLetter"/>
      <w:lvlText w:val="%8."/>
      <w:start w:val="1"/>
      <w:lvlJc w:val="left"/>
      <w:pPr>
        <w:ind w:left="5760"/>
        <w:ind w:hanging="360"/>
      </w:pPr>
      <w:rPr/>
    </w:lvl>
    <w:lvl w:ilvl="8">
      <w:numFmt w:val="lowerRoman"/>
      <w:lvlText w:val="%9."/>
      <w:start w:val="1"/>
      <w:lvlJc w:val="right"/>
      <w:pPr>
        <w:ind w:left="6480"/>
        <w:ind w:hanging="180"/>
      </w:pPr>
      <w:rPr/>
    </w:lvl>
  </w:abstractNum>
  <w:abstractNum w:abstractNumId="1518615873">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541941364">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741711938">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756592368">
    <w:multiLevelType w:val="hybridMultilevel"/>
    <w:lvl w:ilvl="0">
      <w:numFmt w:val="bullet"/>
      <w:lvlText w:val=""/>
      <w:start w:val="0"/>
      <w:lvlJc w:val="left"/>
      <w:pPr>
        <w:ind w:left="1080"/>
        <w:ind w:hanging="360"/>
      </w:pPr>
      <w:rPr>
        <w:color w:val="33CCCC"/>
        <w:rFonts w:ascii="Symbol" w:hAnsi="Symbol"/>
      </w:rPr>
    </w:lvl>
    <w:lvl w:ilvl="1">
      <w:numFmt w:val="bullet"/>
      <w:lvlText w:val="o"/>
      <w:start w:val="0"/>
      <w:lvlJc w:val="left"/>
      <w:pPr>
        <w:ind w:left="1368"/>
        <w:ind w:hanging="360"/>
      </w:pPr>
      <w:rPr>
        <w:rFonts w:ascii="Courier New" w:hAnsi="Courier New"/>
      </w:rPr>
    </w:lvl>
    <w:lvl w:ilvl="2">
      <w:numFmt w:val="bullet"/>
      <w:lvlText w:val=""/>
      <w:start w:val="0"/>
      <w:lvlJc w:val="left"/>
      <w:pPr>
        <w:ind w:left="2088"/>
        <w:ind w:hanging="360"/>
      </w:pPr>
      <w:rPr>
        <w:rFonts w:ascii="Wingdings" w:hAnsi="Wingdings"/>
      </w:rPr>
    </w:lvl>
    <w:lvl w:ilvl="3">
      <w:numFmt w:val="bullet"/>
      <w:lvlText w:val=""/>
      <w:start w:val="0"/>
      <w:lvlJc w:val="left"/>
      <w:pPr>
        <w:ind w:left="2808"/>
        <w:ind w:hanging="360"/>
      </w:pPr>
      <w:rPr>
        <w:rFonts w:ascii="Symbol" w:hAnsi="Symbol"/>
      </w:rPr>
    </w:lvl>
    <w:lvl w:ilvl="4">
      <w:numFmt w:val="bullet"/>
      <w:lvlText w:val="o"/>
      <w:start w:val="0"/>
      <w:lvlJc w:val="left"/>
      <w:pPr>
        <w:ind w:left="3528"/>
        <w:ind w:hanging="360"/>
      </w:pPr>
      <w:rPr>
        <w:rFonts w:ascii="Courier New" w:hAnsi="Courier New"/>
      </w:rPr>
    </w:lvl>
    <w:lvl w:ilvl="5">
      <w:numFmt w:val="bullet"/>
      <w:lvlText w:val=""/>
      <w:start w:val="0"/>
      <w:lvlJc w:val="left"/>
      <w:pPr>
        <w:ind w:left="4248"/>
        <w:ind w:hanging="360"/>
      </w:pPr>
      <w:rPr>
        <w:rFonts w:ascii="Wingdings" w:hAnsi="Wingdings"/>
      </w:rPr>
    </w:lvl>
    <w:lvl w:ilvl="6">
      <w:numFmt w:val="bullet"/>
      <w:lvlText w:val=""/>
      <w:start w:val="0"/>
      <w:lvlJc w:val="left"/>
      <w:pPr>
        <w:ind w:left="4968"/>
        <w:ind w:hanging="360"/>
      </w:pPr>
      <w:rPr>
        <w:rFonts w:ascii="Symbol" w:hAnsi="Symbol"/>
      </w:rPr>
    </w:lvl>
    <w:lvl w:ilvl="7">
      <w:numFmt w:val="bullet"/>
      <w:lvlText w:val="o"/>
      <w:start w:val="0"/>
      <w:lvlJc w:val="left"/>
      <w:pPr>
        <w:ind w:left="5688"/>
        <w:ind w:hanging="360"/>
      </w:pPr>
      <w:rPr>
        <w:rFonts w:ascii="Courier New" w:hAnsi="Courier New"/>
      </w:rPr>
    </w:lvl>
    <w:lvl w:ilvl="8">
      <w:numFmt w:val="bullet"/>
      <w:lvlText w:val=""/>
      <w:start w:val="0"/>
      <w:lvlJc w:val="left"/>
      <w:pPr>
        <w:ind w:left="6408"/>
        <w:ind w:hanging="360"/>
      </w:pPr>
      <w:rPr>
        <w:rFonts w:ascii="Wingdings" w:hAnsi="Wingdings"/>
      </w:rPr>
    </w:lvl>
  </w:abstractNum>
  <w:abstractNum w:abstractNumId="1795441210">
    <w:multiLevelType w:val="hybridMultilevel"/>
    <w:lvl w:ilvl="0">
      <w:numFmt w:val="bullet"/>
      <w:lvlText w:val="•"/>
      <w:start w:val="0"/>
      <w:lvlJc w:val="left"/>
      <w:pPr>
        <w:ind w:left="720"/>
        <w:ind w:hanging="360"/>
      </w:pPr>
      <w:rPr>
        <w:rFonts w:ascii="Times New Roman" w:hAnsi="Times New Roman"/>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809590459">
    <w:multiLevelType w:val="hybridMultilevel"/>
    <w:lvl w:ilvl="0">
      <w:numFmt w:val="decimal"/>
      <w:lvlText w:val="%1."/>
      <w:start w:val="1"/>
      <w:lvlJc w:val="left"/>
      <w:pPr>
        <w:ind w:left="720"/>
        <w:ind w:hanging="360"/>
      </w:pPr>
      <w:rPr/>
    </w:lvl>
    <w:lvl w:ilvl="1">
      <w:numFmt w:val="lowerLetter"/>
      <w:lvlText w:val="%2."/>
      <w:start w:val="1"/>
      <w:lvlJc w:val="left"/>
      <w:pPr>
        <w:ind w:left="1440"/>
        <w:ind w:hanging="360"/>
      </w:pPr>
      <w:rPr/>
    </w:lvl>
    <w:lvl w:ilvl="2">
      <w:numFmt w:val="lowerRoman"/>
      <w:lvlText w:val="%3."/>
      <w:start w:val="1"/>
      <w:lvlJc w:val="right"/>
      <w:pPr>
        <w:ind w:left="2160"/>
        <w:ind w:hanging="180"/>
      </w:pPr>
      <w:rPr/>
    </w:lvl>
    <w:lvl w:ilvl="3">
      <w:numFmt w:val="decimal"/>
      <w:lvlText w:val="%4."/>
      <w:start w:val="1"/>
      <w:lvlJc w:val="left"/>
      <w:pPr>
        <w:ind w:left="2880"/>
        <w:ind w:hanging="360"/>
      </w:pPr>
      <w:rPr/>
    </w:lvl>
    <w:lvl w:ilvl="4">
      <w:numFmt w:val="lowerLetter"/>
      <w:lvlText w:val="%5."/>
      <w:start w:val="1"/>
      <w:lvlJc w:val="left"/>
      <w:pPr>
        <w:ind w:left="3600"/>
        <w:ind w:hanging="360"/>
      </w:pPr>
      <w:rPr/>
    </w:lvl>
    <w:lvl w:ilvl="5">
      <w:numFmt w:val="lowerRoman"/>
      <w:lvlText w:val="%6."/>
      <w:start w:val="1"/>
      <w:lvlJc w:val="right"/>
      <w:pPr>
        <w:ind w:left="4320"/>
        <w:ind w:hanging="180"/>
      </w:pPr>
      <w:rPr/>
    </w:lvl>
    <w:lvl w:ilvl="6">
      <w:numFmt w:val="decimal"/>
      <w:lvlText w:val="%7."/>
      <w:start w:val="1"/>
      <w:lvlJc w:val="left"/>
      <w:pPr>
        <w:ind w:left="5040"/>
        <w:ind w:hanging="360"/>
      </w:pPr>
      <w:rPr/>
    </w:lvl>
    <w:lvl w:ilvl="7">
      <w:numFmt w:val="lowerLetter"/>
      <w:lvlText w:val="%8."/>
      <w:start w:val="1"/>
      <w:lvlJc w:val="left"/>
      <w:pPr>
        <w:ind w:left="5760"/>
        <w:ind w:hanging="360"/>
      </w:pPr>
      <w:rPr/>
    </w:lvl>
    <w:lvl w:ilvl="8">
      <w:numFmt w:val="lowerRoman"/>
      <w:lvlText w:val="%9."/>
      <w:start w:val="1"/>
      <w:lvlJc w:val="right"/>
      <w:pPr>
        <w:ind w:left="6480"/>
        <w:ind w:hanging="180"/>
      </w:pPr>
      <w:rPr/>
    </w:lvl>
  </w:abstractNum>
  <w:abstractNum w:abstractNumId="2013801999">
    <w:multiLevelType w:val="hybridMultilevel"/>
    <w:lvl w:ilvl="0">
      <w:numFmt w:val="bullet"/>
      <w:lvlText w:val="•"/>
      <w:start w:val="0"/>
      <w:lvlJc w:val="left"/>
      <w:pPr>
        <w:ind w:left="720"/>
        <w:ind w:hanging="360"/>
      </w:pPr>
      <w:rPr>
        <w:rFonts w:ascii="Times New Roman" w:hAnsi="Times New Roman"/>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2076926569">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2082673445">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2086998098">
    <w:multiLevelType w:val="hybridMultilevel"/>
    <w:lvl w:ilvl="0">
      <w:numFmt w:val="bullet"/>
      <w:lvlText w:val="•"/>
      <w:start w:val="0"/>
      <w:lvlJc w:val="left"/>
      <w:pPr>
        <w:ind w:left="720"/>
        <w:ind w:hanging="360"/>
      </w:pPr>
      <w:rPr>
        <w:rFonts w:ascii="Times New Roman" w:hAnsi="Times New Roman"/>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2113041123">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360"/>
      </w:pPr>
      <w:rPr>
        <w:rFonts w:ascii="Courier New" w:hAnsi="Courier New"/>
      </w:rPr>
    </w:lvl>
    <w:lvl w:ilvl="2">
      <w:numFmt w:val="bullet"/>
      <w:lvlText w:val=""/>
      <w:start w:val="0"/>
      <w:lvlJc w:val="left"/>
      <w:pPr>
        <w:ind w:left="2160"/>
        <w:ind w:hanging="360"/>
      </w:pPr>
      <w:rPr>
        <w:rFonts w:ascii="Wingdings" w:hAnsi="Wingdings"/>
      </w:rPr>
    </w:lvl>
    <w:lvl w:ilvl="3">
      <w:numFmt w:val="bullet"/>
      <w:lvlText w:val=""/>
      <w:start w:val="0"/>
      <w:lvlJc w:val="left"/>
      <w:pPr>
        <w:ind w:left="2880"/>
        <w:ind w:hanging="360"/>
      </w:pPr>
      <w:rPr>
        <w:rFonts w:ascii="Symbol" w:hAnsi="Symbol"/>
      </w:rPr>
    </w:lvl>
    <w:lvl w:ilvl="4">
      <w:numFmt w:val="bullet"/>
      <w:lvlText w:val="o"/>
      <w:start w:val="0"/>
      <w:lvlJc w:val="left"/>
      <w:pPr>
        <w:ind w:left="3600"/>
        <w:ind w:hanging="360"/>
      </w:pPr>
      <w:rPr>
        <w:rFonts w:ascii="Courier New" w:hAnsi="Courier New"/>
      </w:rPr>
    </w:lvl>
    <w:lvl w:ilvl="5">
      <w:numFmt w:val="bullet"/>
      <w:lvlText w:val=""/>
      <w:start w:val="0"/>
      <w:lvlJc w:val="left"/>
      <w:pPr>
        <w:ind w:left="4320"/>
        <w:ind w:hanging="360"/>
      </w:pPr>
      <w:rPr>
        <w:rFonts w:ascii="Wingdings" w:hAnsi="Wingdings"/>
      </w:rPr>
    </w:lvl>
    <w:lvl w:ilvl="6">
      <w:numFmt w:val="bullet"/>
      <w:lvlText w:val=""/>
      <w:start w:val="0"/>
      <w:lvlJc w:val="left"/>
      <w:pPr>
        <w:ind w:left="5040"/>
        <w:ind w:hanging="360"/>
      </w:pPr>
      <w:rPr>
        <w:rFonts w:ascii="Symbol" w:hAnsi="Symbol"/>
      </w:rPr>
    </w:lvl>
    <w:lvl w:ilvl="7">
      <w:numFmt w:val="bullet"/>
      <w:lvlText w:val="o"/>
      <w:start w:val="0"/>
      <w:lvlJc w:val="left"/>
      <w:pPr>
        <w:ind w:left="5760"/>
        <w:ind w:hanging="360"/>
      </w:pPr>
      <w:rPr>
        <w:rFonts w:ascii="Courier New" w:hAnsi="Courier New"/>
      </w:rPr>
    </w:lvl>
    <w:lvl w:ilvl="8">
      <w:numFmt w:val="bullet"/>
      <w:lvlText w:val=""/>
      <w:start w:val="0"/>
      <w:lvlJc w:val="left"/>
      <w:pPr>
        <w:ind w:left="6480"/>
        <w:ind w:hanging="360"/>
      </w:pPr>
      <w:rPr>
        <w:rFonts w:ascii="Wingdings" w:hAnsi="Wingdings"/>
      </w:rPr>
    </w:lvl>
  </w:abstractNum>
  <w:abstractNum w:abstractNumId="10121982">
    <w:multiLevelType w:val="hybridMultilevel"/>
    <w:lvl w:ilvl="0">
      <w:numFmt w:val="decimal"/>
      <w:lvlText w:val="%1."/>
      <w:start w:val="1"/>
      <w:lvlJc w:val="left"/>
      <w:pPr>
        <w:ind w:left="720"/>
        <w:ind w:hanging="360"/>
      </w:pPr>
    </w:lvl>
    <w:lvl w:ilvl="1">
      <w:numFmt w:val="decimal"/>
      <w:lvlText w:val="%2."/>
      <w:start w:val="1"/>
      <w:lvlJc w:val="left"/>
      <w:pPr>
        <w:ind w:left="1440"/>
        <w:ind w:hanging="1080"/>
      </w:pPr>
    </w:lvl>
    <w:lvl w:ilvl="2">
      <w:numFmt w:val="decimal"/>
      <w:lvlText w:val="%3."/>
      <w:start w:val="1"/>
      <w:lvlJc w:val="left"/>
      <w:pPr>
        <w:ind w:left="2160"/>
        <w:ind w:hanging="1980"/>
      </w:pPr>
    </w:lvl>
    <w:lvl w:ilvl="3">
      <w:numFmt w:val="decimal"/>
      <w:lvlText w:val="%4."/>
      <w:start w:val="1"/>
      <w:lvlJc w:val="left"/>
      <w:pPr>
        <w:ind w:left="2880"/>
        <w:ind w:hanging="2520"/>
      </w:pPr>
    </w:lvl>
    <w:lvl w:ilvl="4">
      <w:numFmt w:val="decimal"/>
      <w:lvlText w:val="%5."/>
      <w:start w:val="1"/>
      <w:lvlJc w:val="left"/>
      <w:pPr>
        <w:ind w:left="3600"/>
        <w:ind w:hanging="3240"/>
      </w:pPr>
    </w:lvl>
    <w:lvl w:ilvl="5">
      <w:numFmt w:val="decimal"/>
      <w:lvlText w:val="%6."/>
      <w:start w:val="1"/>
      <w:lvlJc w:val="left"/>
      <w:pPr>
        <w:ind w:left="4320"/>
        <w:ind w:hanging="4140"/>
      </w:pPr>
    </w:lvl>
    <w:lvl w:ilvl="6">
      <w:numFmt w:val="decimal"/>
      <w:lvlText w:val="%7."/>
      <w:start w:val="1"/>
      <w:lvlJc w:val="left"/>
      <w:pPr>
        <w:ind w:left="5040"/>
        <w:ind w:hanging="4680"/>
      </w:pPr>
    </w:lvl>
    <w:lvl w:ilvl="7">
      <w:numFmt w:val="decimal"/>
      <w:lvlText w:val="%8."/>
      <w:start w:val="1"/>
      <w:lvlJc w:val="left"/>
      <w:pPr>
        <w:ind w:left="5760"/>
        <w:ind w:hanging="5400"/>
      </w:pPr>
    </w:lvl>
    <w:lvl w:ilvl="8">
      <w:numFmt w:val="decimal"/>
      <w:lvlText w:val="%9."/>
      <w:start w:val="1"/>
      <w:lvlJc w:val="left"/>
      <w:pPr>
        <w:ind w:left="6480"/>
        <w:ind w:hanging="6300"/>
      </w:pPr>
    </w:lvl>
  </w:abstractNum>
  <w:num w:numId="32654132">
    <w:abstractNumId w:val="32654132"/>
  </w:num>
  <w:num w:numId="62218525">
    <w:abstractNumId w:val="62218525"/>
  </w:num>
  <w:num w:numId="306518923">
    <w:abstractNumId w:val="306518923"/>
  </w:num>
  <w:num w:numId="310716950">
    <w:abstractNumId w:val="310716950"/>
  </w:num>
  <w:num w:numId="334000423">
    <w:abstractNumId w:val="334000423"/>
  </w:num>
  <w:num w:numId="337315276">
    <w:abstractNumId w:val="337315276"/>
  </w:num>
  <w:num w:numId="416677901">
    <w:abstractNumId w:val="416677901"/>
  </w:num>
  <w:num w:numId="462121653">
    <w:abstractNumId w:val="462121653"/>
  </w:num>
  <w:num w:numId="493955654">
    <w:abstractNumId w:val="493955654"/>
  </w:num>
  <w:num w:numId="499663966">
    <w:abstractNumId w:val="499663966"/>
  </w:num>
  <w:num w:numId="528957063">
    <w:abstractNumId w:val="528957063"/>
  </w:num>
  <w:num w:numId="582106203">
    <w:abstractNumId w:val="582106203"/>
  </w:num>
  <w:num w:numId="701394686">
    <w:abstractNumId w:val="701394686"/>
  </w:num>
  <w:num w:numId="787434775">
    <w:abstractNumId w:val="787434775"/>
  </w:num>
  <w:num w:numId="856892073">
    <w:abstractNumId w:val="856892073"/>
  </w:num>
  <w:num w:numId="937980672">
    <w:abstractNumId w:val="937980672"/>
  </w:num>
  <w:num w:numId="985814248">
    <w:abstractNumId w:val="985814248"/>
  </w:num>
  <w:num w:numId="1018118239">
    <w:abstractNumId w:val="1018118239"/>
  </w:num>
  <w:num w:numId="1019045205">
    <w:abstractNumId w:val="1019045205"/>
  </w:num>
  <w:num w:numId="1033771422">
    <w:abstractNumId w:val="1033771422"/>
  </w:num>
  <w:num w:numId="1114136938">
    <w:abstractNumId w:val="1114136938"/>
  </w:num>
  <w:num w:numId="1145659234">
    <w:abstractNumId w:val="1145659234"/>
  </w:num>
  <w:num w:numId="1235313867">
    <w:abstractNumId w:val="1235313867"/>
  </w:num>
  <w:num w:numId="1253009103">
    <w:abstractNumId w:val="1253009103"/>
  </w:num>
  <w:num w:numId="1333945103">
    <w:abstractNumId w:val="1333945103"/>
  </w:num>
  <w:num w:numId="1389651279">
    <w:abstractNumId w:val="1389651279"/>
  </w:num>
  <w:num w:numId="1518615873">
    <w:abstractNumId w:val="1518615873"/>
  </w:num>
  <w:num w:numId="1541941364">
    <w:abstractNumId w:val="1541941364"/>
  </w:num>
  <w:num w:numId="1741711938">
    <w:abstractNumId w:val="1741711938"/>
  </w:num>
  <w:num w:numId="1756592368">
    <w:abstractNumId w:val="1756592368"/>
  </w:num>
  <w:num w:numId="1795441210">
    <w:abstractNumId w:val="1795441210"/>
  </w:num>
  <w:num w:numId="1809590459">
    <w:abstractNumId w:val="1809590459"/>
  </w:num>
  <w:num w:numId="2013801999">
    <w:abstractNumId w:val="2013801999"/>
  </w:num>
  <w:num w:numId="2076926569">
    <w:abstractNumId w:val="2076926569"/>
  </w:num>
  <w:num w:numId="2082673445">
    <w:abstractNumId w:val="2082673445"/>
  </w:num>
  <w:num w:numId="2086998098">
    <w:abstractNumId w:val="2086998098"/>
  </w:num>
  <w:num w:numId="2113041123">
    <w:abstractNumId w:val="2113041123"/>
  </w:num>
  <w:num w:numId="10121982">
    <w:abstractNumId w:val="10121982"/>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rFonts w:ascii="Times New Roman"/>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/&gt;
  </w:latentStyles>
  <w:style w:type="paragraph" w:default="1" w:styleId="Normal">
    <w:name w:val="Normal"/>
    <w:qFormat/>
    <w:pPr/>
    <w:rPr>
      <w:sz w:val="24"/>
      <w:szCs w:val="24"/>
    </w:rPr>
  </w:style>
  <w:style w:type="paragraph" w:styleId="Heading1">
    <w:name w:val="Heading 1"/>
    <w:qFormat/>
    <w:basedOn w:val="Normal"/>
    <w:pPr>
      <w:spacing w:before="240" w:after="60"/>
    </w:pPr>
    <w:rPr>
      <w:b/>
      <w:rFonts w:ascii="Arial" w:hAnsi="Arial"/>
      <w:sz w:val="32"/>
      <w:szCs w:val="32"/>
    </w:rPr>
  </w:style>
  <w:style w:type="paragraph" w:styleId="Heading2">
    <w:name w:val="Heading 2"/>
    <w:qFormat/>
    <w:basedOn w:val="Normal"/>
    <w:pPr>
      <w:spacing w:before="240" w:after="60"/>
    </w:pPr>
    <w:rPr>
      <w:b/>
      <w:i/>
      <w:rFonts w:ascii="Arial" w:hAnsi="Arial"/>
      <w:sz w:val="28"/>
      <w:szCs w:val="28"/>
    </w:rPr>
  </w:style>
  <w:style w:type="paragraph" w:styleId="Heading3">
    <w:name w:val="Heading 3"/>
    <w:qFormat/>
    <w:basedOn w:val="Normal"/>
    <w:pPr>
      <w:spacing w:before="240" w:after="60"/>
    </w:pPr>
    <w:rPr>
      <w:b/>
      <w:rFonts w:ascii="Arial" w:hAnsi="Arial"/>
      <w:sz w:val="26"/>
      <w:szCs w:val="26"/>
    </w:rPr>
  </w:style>
  <w:style w:type="paragraph" w:styleId="Heading4">
    <w:name w:val="Heading 4"/>
    <w:qFormat/>
    <w:basedOn w:val="Normal"/>
    <w:pPr/>
    <w:rPr>
      <w:b/>
    </w:rPr>
  </w:style>
  <w:style w:type="paragraph" w:styleId="Heading5">
    <w:name w:val="Heading 5"/>
    <w:qFormat/>
    <w:basedOn w:val="Normal"/>
    <w:pPr>
      <w:jc w:val="center"/>
    </w:pPr>
    <w:rPr>
      <w:b/>
      <w:color w:val="000000"/>
      <w:rFonts w:ascii="Arial" w:hAnsi="Arial"/>
    </w:rPr>
  </w:style>
  <w:style w:type="paragraph" w:styleId="Heading6">
    <w:name w:val="Heading 6"/>
    <w:qFormat/>
    <w:basedOn w:val="Normal"/>
    <w:pPr>
      <w:jc w:val="center"/>
    </w:pPr>
    <w:rPr>
      <w:b/>
      <w:color w:val="000000"/>
      <w:rFonts w:ascii="Arial" w:hAnsi="Arial"/>
      <w:sz w:val="22"/>
    </w:rPr>
  </w:style>
  <w:style w:type="paragraph" w:styleId="Heading7">
    <w:name w:val="Heading 7"/>
    <w:qFormat/>
    <w:basedOn w:val="Normal"/>
    <w:pPr>
      <w:jc w:val="center"/>
    </w:pPr>
    <w:rPr>
      <w:b/>
      <w:color w:val="000000"/>
      <w:rFonts w:ascii="Arial" w:hAnsi="Arial"/>
      <w:sz w:val="20"/>
    </w:rPr>
  </w:style>
  <w:style w:type="paragraph" w:styleId="Heading8">
    <w:name w:val="Heading 8"/>
    <w:qFormat/>
    <w:basedOn w:val="Normal"/>
    <w:pPr>
      <w:jc w:val="center"/>
    </w:pPr>
    <w:rPr>
      <w:i/>
    </w:rPr>
  </w:style>
  <w:style w:type="paragraph" w:styleId="Heading9">
    <w:name w:val="Heading 9"/>
    <w:qFormat/>
    <w:basedOn w:val="Normal"/>
    <w:pPr/>
    <w:rPr>
      <w:u w:val="single"/>
    </w:rPr>
  </w:style>
  <w:style w:type="character" w:styleId="DefaultParagraphFont">
    <w:name w:val="Default Paragraph Font"/>
    <w:qFormat/>
  </w:style>
  <w:style w:type="table" w:styleId="TableNormal">
    <w:name w:val="Table Normal"/>
    <w:qFormat/>
    <w:pPr/>
    <w:tblPr>
      <w:tblStyle w:val="TableNormal"/>
      <w:tblLook w:val="1E0"/>
    </w:tblPr>
  </w:style>
  <w:style w:type="numbering" w:styleId="NoList">
    <w:name w:val="No List"/>
    <w:qFormat/>
  </w:style>
  <w:style w:type="paragraph" w:styleId="Title">
    <w:name w:val="Title"/>
    <w:qFormat/>
    <w:basedOn w:val="Normal"/>
    <w:pPr>
      <w:jc w:val="center"/>
    </w:pPr>
    <w:rPr>
      <w:b/>
    </w:rPr>
  </w:style>
  <w:style w:type="paragraph" w:styleId="TOC1">
    <w:name w:val="TOC 1"/>
    <w:qFormat/>
    <w:basedOn w:val="Normal"/>
    <w:pPr>
      <w:spacing w:before="120" w:after="120"/>
    </w:pPr>
    <w:rPr>
      <w:b/>
      <w:caps/>
    </w:rPr>
  </w:style>
  <w:style w:type="paragraph" w:styleId="TOC2">
    <w:name w:val="TOC 2"/>
    <w:qFormat/>
    <w:basedOn w:val="Normal"/>
    <w:pPr>
      <w:ind w:left="245"/>
      <w:spacing w:line="480" w:lineRule="auto"/>
    </w:pPr>
    <w:rPr>
      <w:b/>
      <w:i/>
      <w:smallCaps/>
    </w:rPr>
  </w:style>
  <w:style w:type="paragraph" w:styleId="TOC3">
    <w:name w:val="TOC 3"/>
    <w:qFormat/>
    <w:basedOn w:val="Normal"/>
    <w:pPr>
      <w:ind w:left="475"/>
      <w:spacing w:line="480" w:lineRule="auto"/>
    </w:pPr>
    <w:rPr>
      <w:i/>
    </w:rPr>
  </w:style>
  <w:style w:type="paragraph" w:styleId="TOC4">
    <w:name w:val="TOC 4"/>
    <w:qFormat/>
    <w:basedOn w:val="Normal"/>
    <w:pPr>
      <w:ind w:left="720"/>
    </w:pPr>
    <w:rPr>
      <w:szCs w:val="21"/>
    </w:rPr>
  </w:style>
  <w:style w:type="paragraph" w:styleId="TOC5">
    <w:name w:val="TOC 5"/>
    <w:qFormat/>
    <w:basedOn w:val="Normal"/>
    <w:pPr>
      <w:ind w:left="960"/>
    </w:pPr>
    <w:rPr>
      <w:szCs w:val="21"/>
    </w:rPr>
  </w:style>
  <w:style w:type="paragraph" w:styleId="TOC6">
    <w:name w:val="TOC 6"/>
    <w:qFormat/>
    <w:basedOn w:val="Normal"/>
    <w:pPr>
      <w:ind w:left="1200"/>
    </w:pPr>
    <w:rPr>
      <w:szCs w:val="21"/>
    </w:rPr>
  </w:style>
  <w:style w:type="paragraph" w:styleId="TOC7">
    <w:name w:val="TOC 7"/>
    <w:qFormat/>
    <w:basedOn w:val="Normal"/>
    <w:pPr>
      <w:ind w:left="1440"/>
    </w:pPr>
    <w:rPr>
      <w:szCs w:val="21"/>
    </w:rPr>
  </w:style>
  <w:style w:type="paragraph" w:styleId="TOC8">
    <w:name w:val="TOC 8"/>
    <w:qFormat/>
    <w:basedOn w:val="Normal"/>
    <w:pPr>
      <w:ind w:left="1680"/>
    </w:pPr>
    <w:rPr>
      <w:szCs w:val="21"/>
    </w:rPr>
  </w:style>
  <w:style w:type="paragraph" w:styleId="TOC9">
    <w:name w:val="TOC 9"/>
    <w:qFormat/>
    <w:basedOn w:val="Normal"/>
    <w:pPr>
      <w:ind w:left="1920"/>
    </w:pPr>
    <w:rPr>
      <w:szCs w:val="21"/>
    </w:rPr>
  </w:style>
  <w:style w:type="paragraph" w:styleId="BodyTextIndent">
    <w:name w:val="Body Text Indent"/>
    <w:qFormat/>
    <w:basedOn w:val="Normal"/>
    <w:pPr>
      <w:jc w:val="both"/>
      <w:ind w:firstLine="720"/>
      <w:spacing w:line="480" w:lineRule="auto"/>
    </w:pPr>
  </w:style>
  <w:style w:type="character" w:styleId="Hyperlink">
    <w:name w:val="Hyperlink"/>
    <w:qFormat/>
    <w:basedOn w:val="DefaultParagraphFont"/>
    <w:rPr>
      <w:u w:val="single"/>
      <w:color w:val="0000FF"/>
    </w:rPr>
  </w:style>
  <w:style w:type="paragraph" w:styleId="BodyText">
    <w:name w:val="Body Text"/>
    <w:qFormat/>
    <w:basedOn w:val="Normal"/>
    <w:pPr>
      <w:jc w:val="both"/>
      <w:spacing w:line="480" w:lineRule="auto"/>
    </w:pPr>
  </w:style>
  <w:style w:type="paragraph" w:styleId="Footer">
    <w:name w:val="Footer"/>
    <w:qFormat/>
    <w:basedOn w:val="Normal"/>
    <w:pPr/>
  </w:style>
  <w:style w:type="character" w:styleId="FooterChar">
    <w:name w:val="Footer Char"/>
    <w:qFormat/>
    <w:basedOn w:val="DefaultParagraphFont"/>
    <w:rPr>
      <w:sz w:val="24"/>
      <w:szCs w:val="24"/>
    </w:rPr>
  </w:style>
  <w:style w:type="character" w:styleId="PageNumber">
    <w:name w:val="Page Number"/>
    <w:qFormat/>
    <w:basedOn w:val="DefaultParagraphFont"/>
  </w:style>
  <w:style w:type="paragraph" w:styleId="BodyTextIndent2">
    <w:name w:val="Body Text Indent 2"/>
    <w:qFormat/>
    <w:basedOn w:val="Normal"/>
    <w:pPr>
      <w:ind w:left="720"/>
    </w:pPr>
  </w:style>
  <w:style w:type="paragraph" w:styleId="BodyTextIndent3">
    <w:name w:val="Body Text Indent 3"/>
    <w:qFormat/>
    <w:basedOn w:val="Normal"/>
    <w:pPr>
      <w:ind w:left="720"/>
      <w:ind w:hanging="720"/>
    </w:pPr>
  </w:style>
  <w:style w:type="paragraph" w:styleId="Header">
    <w:name w:val="Header"/>
    <w:qFormat/>
    <w:basedOn w:val="Normal"/>
    <w:pPr/>
  </w:style>
  <w:style w:type="character" w:styleId="HeaderChar">
    <w:name w:val="Header Char"/>
    <w:qFormat/>
    <w:basedOn w:val="DefaultParagraphFont"/>
    <w:rPr>
      <w:sz w:val="24"/>
      <w:szCs w:val="24"/>
    </w:rPr>
  </w:style>
  <w:style w:type="paragraph" w:styleId="BalloonText">
    <w:name w:val="Balloon Text"/>
    <w:qFormat/>
    <w:basedOn w:val="Normal"/>
    <w:pPr/>
    <w:rPr>
      <w:rFonts w:ascii="Tahoma" w:hAnsi="Tahoma"/>
      <w:sz w:val="16"/>
      <w:szCs w:val="16"/>
    </w:rPr>
  </w:style>
  <w:style w:type="character" w:styleId="BalloonTextChar">
    <w:name w:val="Balloon Text Char"/>
    <w:qFormat/>
    <w:basedOn w:val="DefaultParagraphFont"/>
    <w:rPr>
      <w:rFonts w:ascii="Tahoma" w:hAnsi="Tahoma"/>
      <w:sz w:val="16"/>
      <w:szCs w:val="16"/>
    </w:rPr>
  </w:style>
  <w:style w:type="paragraph" w:styleId="ListParagraph">
    <w:name w:val="List Paragraph"/>
    <w:qFormat/>
    <w:basedOn w:val="Normal"/>
    <w:pPr>
      <w:ind w:left="720"/>
      <w:contextualSpacing/>
    </w:pPr>
  </w:style>
  <w:style w:type="character" w:styleId="Emphasis">
    <w:name w:val="Emphasis"/>
    <w:qFormat/>
    <w:basedOn w:val="DefaultParagraphFont"/>
    <w:rPr>
      <w:i/>
    </w:rPr>
  </w:style>
  <w:style w:type="paragraph" w:styleId="citation">
    <w:name w:val="citation"/>
    <w:qFormat/>
    <w:basedOn w:val="Normal"/>
    <w:pPr>
      <w:ind w:left="525"/>
      <w:ind w:hanging="450"/>
      <w:spacing w:before="0" w:line="480" w:lineRule="atLeast"/>
    </w:pPr>
    <w:rPr>
      <w:sz w:val="18"/>
      <w:szCs w:val="18"/>
    </w:rPr>
  </w:style>
  <w:style w:type="paragraph" w:styleId="DocumentMap">
    <w:name w:val="Document Map"/>
    <w:qFormat/>
    <w:basedOn w:val="Normal"/>
    <w:pPr/>
    <w:rPr>
      <w:rFonts w:ascii="Tahoma" w:hAnsi="Tahoma"/>
      <w:sz w:val="16"/>
      <w:szCs w:val="16"/>
    </w:rPr>
  </w:style>
  <w:style w:type="character" w:styleId="DocumentMapChar">
    <w:name w:val="Document Map Char"/>
    <w:qFormat/>
    <w:basedOn w:val="DefaultParagraphFont"/>
    <w:rPr>
      <w:rFonts w:ascii="Tahoma" w:hAnsi="Tahoma"/>
      <w:sz w:val="16"/>
      <w:szCs w:val="16"/>
    </w:rPr>
  </w:style>
  <w:style w:type="paragraph" w:styleId="StyleBoxSinglesolidlineAuto05ptLinewidth">
    <w:name w:val="Style Box: (Single solid line Auto  0.5 pt Line width)"/>
    <w:qFormat/>
    <w:basedOn w:val="Normal"/>
    <w:pPr>
      <w:pBdr>
        <w:top w:val="dotted" w:sz="4" w:color="808080" w:space="4"/>
        <w:bottom w:val="dotted" w:sz="4" w:color="808080" w:space="4"/>
        <w:left w:val="dotted" w:sz="4" w:color="808080" w:space="4"/>
        <w:right w:val="dotted" w:sz="4" w:color="808080" w:space="4"/>
      </w:pBdr>
      <w:ind w:left="284"/>
      <w:ind w:hanging="284"/>
      <w:spacing w:before="120" w:after="120" w:line="360" w:lineRule="auto"/>
    </w:pPr>
    <w:rPr>
      <w:color w:val="333333"/>
      <w:rFonts w:ascii="Arial" w:hAnsi="Arial"/>
      <w:sz w:val="22"/>
      <w:szCs w:val="22"/>
    </w:rPr>
  </w:style>
  <w:style w:type="character" w:styleId="FollowedHyperlink">
    <w:name w:val="FollowedHyperlink"/>
    <w:qFormat/>
    <w:basedOn w:val="DefaultParagraphFont"/>
    <w:rPr>
      <w:u w:val="single"/>
      <w:color w:val="800080"/>
    </w:rPr>
  </w:style>
  <w:style w:type="paragraph" w:styleId="NormalWeb">
    <w:name w:val="Normal (Web)"/>
    <w:qFormat/>
    <w:basedOn w:val="Normal"/>
    <w:pPr>
      <w:spacing w:before="0" w:after="0"/>
    </w:pPr>
  </w:style>
  <w:style w:type="paragraph" w:styleId="Caption">
    <w:name w:val="Caption"/>
    <w:qFormat/>
    <w:basedOn w:val="Normal"/>
    <w:pPr>
      <w:spacing w:after="200"/>
    </w:pPr>
    <w:rPr>
      <w:b/>
      <w:color w:val="4F81BD"/>
      <w:sz w:val="18"/>
      <w:szCs w:val="18"/>
    </w:rPr>
  </w:style>
  <w:style w:type="paragraph" w:styleId="body-paragraph">
    <w:name w:val="body-paragraph"/>
    <w:qFormat/>
    <w:basedOn w:val="Normal"/>
    <w:pPr>
      <w:spacing w:before="0" w:after="0"/>
    </w:pPr>
  </w:style>
  <w:style w:type="character" w:styleId="italic">
    <w:name w:val="italic"/>
    <w:qFormat/>
    <w:basedOn w:val="DefaultParagraphFont"/>
  </w:style>
  <w:style w:type="character" w:styleId="WPHyperlink">
    <w:name w:val="WP_Hyperlink"/>
    <w:qFormat/>
    <w:basedOn w:val="DefaultParagraphFont"/>
    <w:rPr>
      <w:u w:val="single"/>
      <w:color w:val="0000FF"/>
    </w:rPr>
  </w:style>
  <w:style w:type="paragraph" w:styleId="Subtitle">
    <w:name w:val="Subtitle"/>
    <w:basedOn w:val="Normal"/>
    <w:rPr>
      <w:i/>
      <w:color w:val="4F81BD"/>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7" Type="http://schemas.openxmlformats.org/officeDocument/2006/relationships/numbering" Target="numbering.xml"/><Relationship Id="rId8" TargetMode="External" Type="http://schemas.openxmlformats.org/officeDocument/2006/relationships/hyperlink" Target="mailto:name@yourserviceprovider.com"/><Relationship Id="rId9" TargetMode="External" Type="http://schemas.openxmlformats.org/officeDocument/2006/relationships/hyperlink" Target="http://www.hhs.gov/news/facts/foodfeed.html"/><Relationship Id="rId10" TargetMode="External" Type="http://schemas.openxmlformats.org/officeDocument/2006/relationships/hyperlink" Target="http://www.cfsan.fda.gov/%7Edms/melamra.html"/><Relationship Id="rId11" TargetMode="External" Type="http://schemas.openxmlformats.org/officeDocument/2006/relationships/hyperlink" Target="http://www.fda.gov/import"/><Relationship Id="rId12" TargetMode="External" Type="http://schemas.openxmlformats.org/officeDocument/2006/relationships/hyperlink" Target="http://www.fda.gov/cvm/gcmsmelamine.html)"/><Relationship Id="rId13" TargetMode="External" Type="http://schemas.openxmlformats.org/officeDocument/2006/relationships/hyperlink" Target="http://www.cfsan.fda.gov/%7Edms/melamra.html"/><Relationship Id="rId14" TargetMode="External" Type="http://schemas.openxmlformats.org/officeDocument/2006/relationships/hyperlink" Target="http://www.fda.gov/ora/fiars/ora_import_alerts.html"/><Relationship Id="rId15" TargetMode="External" Type="http://schemas.openxmlformats.org/officeDocument/2006/relationships/hyperlink" Target="http://www.fda.gov/cvm/gcmsmelamine.html"/><Relationship Id="rId16" Type="http://schemas.openxmlformats.org/officeDocument/2006/relationships/header" Target="header1.xml"/><Relationship Id="rId17" Type="http://schemas.openxmlformats.org/officeDocument/2006/relationships/header" Target="header2.xml"/><Relationship Id="rId18" Type="http://schemas.openxmlformats.org/officeDocument/2006/relationships/header" Target="header3.xml"/><Relationship Id="rId19" Type="http://schemas.openxmlformats.org/officeDocument/2006/relationships/header" Target="header4.xml"/><Relationship Id="rId20" Type="http://schemas.openxmlformats.org/officeDocument/2006/relationships/header" Target="header5.xml"/><Relationship Id="rId21" Type="http://schemas.openxmlformats.org/officeDocument/2006/relationships/header" Target="header6.xml"/><Relationship Id="rId22" Type="http://schemas.openxmlformats.org/officeDocument/2006/relationships/footer" Target="footer1.xml"/><Relationship Id="rId23" Type="http://schemas.openxmlformats.org/officeDocument/2006/relationships/footer" Target="footer2.xml"/><Relationship Id="rId24" Type="http://schemas.openxmlformats.org/officeDocument/2006/relationships/footer" Target="footer3.xml"/><Relationship Id="rId25"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2007-04-30T19:01:00Z</dcterms:created>
  <dcterms:modified xsi:type="dcterms:W3CDTF">2011-09-26T12:08:00Z</dcterms:modified>
</cp:coreProperties>
</file>