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B2" w:rsidRPr="004B1638" w:rsidRDefault="000A2EB2" w:rsidP="00BF4737">
      <w:pPr>
        <w:spacing w:after="0" w:line="480" w:lineRule="auto"/>
        <w:contextualSpacing/>
        <w:jc w:val="center"/>
        <w:rPr>
          <w:rFonts w:ascii="Times New Roman" w:hAnsi="Times New Roman" w:cs="Times New Roman"/>
          <w:sz w:val="24"/>
          <w:szCs w:val="24"/>
        </w:rPr>
      </w:pPr>
      <w:bookmarkStart w:id="0" w:name="_GoBack"/>
    </w:p>
    <w:p w:rsidR="000A2EB2" w:rsidRPr="004B1638" w:rsidRDefault="000A2EB2" w:rsidP="00BF4737">
      <w:pPr>
        <w:spacing w:after="0" w:line="480" w:lineRule="auto"/>
        <w:contextualSpacing/>
        <w:jc w:val="center"/>
        <w:rPr>
          <w:rFonts w:ascii="Times New Roman" w:hAnsi="Times New Roman" w:cs="Times New Roman"/>
          <w:sz w:val="24"/>
          <w:szCs w:val="24"/>
        </w:rPr>
      </w:pPr>
    </w:p>
    <w:p w:rsidR="000A2EB2" w:rsidRPr="004B1638" w:rsidRDefault="000A2EB2" w:rsidP="00BF4737">
      <w:pPr>
        <w:spacing w:after="0" w:line="480" w:lineRule="auto"/>
        <w:contextualSpacing/>
        <w:jc w:val="center"/>
        <w:rPr>
          <w:rFonts w:ascii="Times New Roman" w:hAnsi="Times New Roman" w:cs="Times New Roman"/>
          <w:sz w:val="24"/>
          <w:szCs w:val="24"/>
        </w:rPr>
      </w:pPr>
    </w:p>
    <w:p w:rsidR="000A2EB2" w:rsidRPr="004B1638" w:rsidRDefault="00197C7E" w:rsidP="00BF4737">
      <w:pPr>
        <w:tabs>
          <w:tab w:val="left" w:pos="30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0A2EB2" w:rsidRPr="004B1638" w:rsidRDefault="000A2EB2" w:rsidP="00BF4737">
      <w:pPr>
        <w:spacing w:after="0" w:line="480" w:lineRule="auto"/>
        <w:contextualSpacing/>
        <w:jc w:val="center"/>
        <w:rPr>
          <w:rFonts w:ascii="Times New Roman" w:hAnsi="Times New Roman" w:cs="Times New Roman"/>
          <w:sz w:val="24"/>
          <w:szCs w:val="24"/>
        </w:rPr>
      </w:pPr>
    </w:p>
    <w:p w:rsidR="000A2EB2" w:rsidRPr="004B1638" w:rsidRDefault="000A2EB2" w:rsidP="00BF4737">
      <w:pPr>
        <w:spacing w:after="0" w:line="480" w:lineRule="auto"/>
        <w:contextualSpacing/>
        <w:jc w:val="center"/>
        <w:rPr>
          <w:rFonts w:ascii="Times New Roman" w:hAnsi="Times New Roman" w:cs="Times New Roman"/>
          <w:sz w:val="24"/>
          <w:szCs w:val="24"/>
        </w:rPr>
      </w:pPr>
    </w:p>
    <w:p w:rsidR="000A2EB2" w:rsidRPr="004B1638" w:rsidRDefault="000A2EB2" w:rsidP="00BF4737">
      <w:pPr>
        <w:spacing w:after="0" w:line="480" w:lineRule="auto"/>
        <w:contextualSpacing/>
        <w:jc w:val="center"/>
        <w:rPr>
          <w:rFonts w:ascii="Times New Roman" w:hAnsi="Times New Roman" w:cs="Times New Roman"/>
          <w:sz w:val="24"/>
          <w:szCs w:val="24"/>
        </w:rPr>
      </w:pPr>
    </w:p>
    <w:p w:rsidR="00DA2D74" w:rsidRPr="004B1638" w:rsidRDefault="00DA2D74" w:rsidP="00BF4737">
      <w:pPr>
        <w:spacing w:after="0" w:line="480" w:lineRule="auto"/>
        <w:contextualSpacing/>
        <w:jc w:val="center"/>
        <w:rPr>
          <w:rFonts w:ascii="Times New Roman" w:hAnsi="Times New Roman" w:cs="Times New Roman"/>
          <w:sz w:val="24"/>
          <w:szCs w:val="24"/>
        </w:rPr>
      </w:pPr>
    </w:p>
    <w:p w:rsidR="00440520" w:rsidRPr="004B1638" w:rsidRDefault="00D332A8" w:rsidP="00BF4737">
      <w:pPr>
        <w:tabs>
          <w:tab w:val="center" w:pos="4680"/>
          <w:tab w:val="left" w:pos="753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r w:rsidR="00BF4737">
        <w:rPr>
          <w:rFonts w:ascii="Times New Roman" w:hAnsi="Times New Roman" w:cs="Times New Roman"/>
          <w:sz w:val="24"/>
          <w:szCs w:val="24"/>
        </w:rPr>
        <w:t xml:space="preserve">: </w:t>
      </w:r>
      <w:r>
        <w:rPr>
          <w:rFonts w:ascii="Times New Roman" w:hAnsi="Times New Roman" w:cs="Times New Roman"/>
          <w:sz w:val="24"/>
          <w:szCs w:val="24"/>
        </w:rPr>
        <w:t xml:space="preserve">Local </w:t>
      </w:r>
      <w:r w:rsidR="00BF4737">
        <w:rPr>
          <w:rFonts w:ascii="Times New Roman" w:hAnsi="Times New Roman" w:cs="Times New Roman"/>
          <w:sz w:val="24"/>
          <w:szCs w:val="24"/>
        </w:rPr>
        <w:t xml:space="preserve">Police Governance: </w:t>
      </w:r>
      <w:r>
        <w:rPr>
          <w:rFonts w:ascii="Times New Roman" w:hAnsi="Times New Roman" w:cs="Times New Roman"/>
          <w:sz w:val="24"/>
          <w:szCs w:val="24"/>
        </w:rPr>
        <w:t xml:space="preserve">European </w:t>
      </w:r>
      <w:r w:rsidR="00BF4737" w:rsidRPr="00D332A8">
        <w:rPr>
          <w:rFonts w:ascii="Times New Roman" w:hAnsi="Times New Roman" w:cs="Times New Roman"/>
          <w:sz w:val="24"/>
          <w:szCs w:val="24"/>
        </w:rPr>
        <w:t>Perspectives</w:t>
      </w:r>
    </w:p>
    <w:p w:rsidR="000A2EB2" w:rsidRPr="004B1638" w:rsidRDefault="000A2EB2" w:rsidP="00BF4737">
      <w:pPr>
        <w:spacing w:after="0" w:line="480" w:lineRule="auto"/>
        <w:contextualSpacing/>
        <w:jc w:val="center"/>
        <w:rPr>
          <w:rFonts w:ascii="Times New Roman" w:hAnsi="Times New Roman" w:cs="Times New Roman"/>
          <w:sz w:val="24"/>
          <w:szCs w:val="24"/>
        </w:rPr>
      </w:pPr>
      <w:r w:rsidRPr="004B1638">
        <w:rPr>
          <w:rFonts w:ascii="Times New Roman" w:hAnsi="Times New Roman" w:cs="Times New Roman"/>
          <w:sz w:val="24"/>
          <w:szCs w:val="24"/>
        </w:rPr>
        <w:t>Student’s Name</w:t>
      </w:r>
    </w:p>
    <w:p w:rsidR="000A2EB2" w:rsidRPr="004B1638" w:rsidRDefault="000A2EB2" w:rsidP="00BF4737">
      <w:pPr>
        <w:spacing w:after="0" w:line="480" w:lineRule="auto"/>
        <w:contextualSpacing/>
        <w:jc w:val="center"/>
        <w:rPr>
          <w:rFonts w:ascii="Times New Roman" w:hAnsi="Times New Roman" w:cs="Times New Roman"/>
          <w:sz w:val="24"/>
          <w:szCs w:val="24"/>
        </w:rPr>
      </w:pPr>
      <w:r w:rsidRPr="004B1638">
        <w:rPr>
          <w:rFonts w:ascii="Times New Roman" w:hAnsi="Times New Roman" w:cs="Times New Roman"/>
          <w:sz w:val="24"/>
          <w:szCs w:val="24"/>
        </w:rPr>
        <w:t>Institutional Affiliation</w:t>
      </w:r>
    </w:p>
    <w:p w:rsidR="00056A50" w:rsidRPr="004B1638" w:rsidRDefault="00056A50" w:rsidP="00BF4737">
      <w:pPr>
        <w:spacing w:after="0" w:line="480" w:lineRule="auto"/>
        <w:contextualSpacing/>
        <w:rPr>
          <w:rFonts w:ascii="Times New Roman" w:hAnsi="Times New Roman" w:cs="Times New Roman"/>
          <w:sz w:val="24"/>
          <w:szCs w:val="24"/>
        </w:rPr>
      </w:pPr>
      <w:r w:rsidRPr="004B1638">
        <w:rPr>
          <w:rFonts w:ascii="Times New Roman" w:hAnsi="Times New Roman" w:cs="Times New Roman"/>
          <w:sz w:val="24"/>
          <w:szCs w:val="24"/>
        </w:rPr>
        <w:br w:type="page"/>
      </w:r>
    </w:p>
    <w:p w:rsidR="00197C7E" w:rsidRDefault="00197C7E" w:rsidP="00BF4737">
      <w:pPr>
        <w:spacing w:after="0" w:line="480" w:lineRule="auto"/>
        <w:contextualSpacing/>
        <w:jc w:val="center"/>
        <w:rPr>
          <w:rFonts w:ascii="Times New Roman" w:hAnsi="Times New Roman" w:cs="Times New Roman"/>
          <w:sz w:val="24"/>
          <w:szCs w:val="24"/>
        </w:rPr>
      </w:pPr>
      <w:r w:rsidRPr="00197C7E">
        <w:rPr>
          <w:rFonts w:ascii="Times New Roman" w:hAnsi="Times New Roman" w:cs="Times New Roman"/>
          <w:sz w:val="24"/>
          <w:szCs w:val="24"/>
        </w:rPr>
        <w:lastRenderedPageBreak/>
        <w:t>Introduction</w:t>
      </w:r>
      <w:r w:rsidR="00BF4737" w:rsidRPr="00197C7E">
        <w:rPr>
          <w:rFonts w:ascii="Times New Roman" w:hAnsi="Times New Roman" w:cs="Times New Roman"/>
          <w:sz w:val="24"/>
          <w:szCs w:val="24"/>
        </w:rPr>
        <w:t xml:space="preserve">: </w:t>
      </w:r>
      <w:r w:rsidRPr="00197C7E">
        <w:rPr>
          <w:rFonts w:ascii="Times New Roman" w:hAnsi="Times New Roman" w:cs="Times New Roman"/>
          <w:sz w:val="24"/>
          <w:szCs w:val="24"/>
        </w:rPr>
        <w:t xml:space="preserve">Local </w:t>
      </w:r>
      <w:r w:rsidR="00BF4737" w:rsidRPr="00197C7E">
        <w:rPr>
          <w:rFonts w:ascii="Times New Roman" w:hAnsi="Times New Roman" w:cs="Times New Roman"/>
          <w:sz w:val="24"/>
          <w:szCs w:val="24"/>
        </w:rPr>
        <w:t xml:space="preserve">Police Governance: </w:t>
      </w:r>
      <w:r w:rsidRPr="00197C7E">
        <w:rPr>
          <w:rFonts w:ascii="Times New Roman" w:hAnsi="Times New Roman" w:cs="Times New Roman"/>
          <w:sz w:val="24"/>
          <w:szCs w:val="24"/>
        </w:rPr>
        <w:t xml:space="preserve">European </w:t>
      </w:r>
      <w:r w:rsidR="00BF4737" w:rsidRPr="00197C7E">
        <w:rPr>
          <w:rFonts w:ascii="Times New Roman" w:hAnsi="Times New Roman" w:cs="Times New Roman"/>
          <w:sz w:val="24"/>
          <w:szCs w:val="24"/>
        </w:rPr>
        <w:t>Perspectives</w:t>
      </w:r>
    </w:p>
    <w:p w:rsidR="00E820DA" w:rsidRPr="00E820DA" w:rsidRDefault="00E820DA" w:rsidP="00BF4737">
      <w:pPr>
        <w:spacing w:after="0" w:line="480" w:lineRule="auto"/>
        <w:contextualSpacing/>
        <w:jc w:val="center"/>
        <w:rPr>
          <w:rFonts w:ascii="Times New Roman" w:hAnsi="Times New Roman" w:cs="Times New Roman"/>
          <w:b/>
          <w:sz w:val="24"/>
          <w:szCs w:val="24"/>
        </w:rPr>
      </w:pPr>
      <w:r w:rsidRPr="00E820DA">
        <w:rPr>
          <w:rFonts w:ascii="Times New Roman" w:hAnsi="Times New Roman" w:cs="Times New Roman"/>
          <w:b/>
          <w:sz w:val="24"/>
          <w:szCs w:val="24"/>
        </w:rPr>
        <w:t>Introduction</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author introduces the article by directly quoting one of the referenced items. Henry and Aydın-Aitchison (2017), provoke the readers' thoughts by mentioning universal truths about British police as lifted from another author's research. The means of introduction is captivating since it creates an urge and curiosity on the reader about the topic. The lifted quote specifies that overreliance on technology and the military to control crime can contribute to loss of touch with the public. According to the British perspective, the loss of public participation in police governance is misleading. The authors juxtapose the universal truth statement from the British point of view with the Italian police force.  In Italy, the locals draw inspiration from the fact that there is minimal interaction between the civilians and the police who are also part of the Italian military. The contrast in opinion is interesting because it prepares the reader to approach the article with an open mind without bias induced by the writer.  The authors' opening statement acknowledge the systematic research conducted by other researchers and declares the position of the article concerning other reviewed literature. The authors declare that the directly quoted study provides a base for their research. The author defines the scope of the study by highlighting the intention to compare and contrast police organizations across selected jurisdictions as guided by various prompts. </w:t>
      </w:r>
    </w:p>
    <w:p w:rsidR="00E820DA" w:rsidRPr="00E820DA" w:rsidRDefault="00E820DA" w:rsidP="00BF4737">
      <w:pPr>
        <w:spacing w:after="0" w:line="480" w:lineRule="auto"/>
        <w:contextualSpacing/>
        <w:jc w:val="center"/>
        <w:rPr>
          <w:rFonts w:ascii="Times New Roman" w:hAnsi="Times New Roman" w:cs="Times New Roman"/>
          <w:b/>
          <w:sz w:val="24"/>
          <w:szCs w:val="24"/>
        </w:rPr>
      </w:pPr>
      <w:r w:rsidRPr="00E820DA">
        <w:rPr>
          <w:rFonts w:ascii="Times New Roman" w:hAnsi="Times New Roman" w:cs="Times New Roman"/>
          <w:b/>
          <w:sz w:val="24"/>
          <w:szCs w:val="24"/>
        </w:rPr>
        <w:t>Argument</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author argues his cases based on the reference of the 'universal truth' that public input is crucial in police operations. The author compares his ideas with the opening remarks that impersonal methods for controlling crime are irrelevant when conducted without information from human civilians. The author acknowledges that research along crime control has been </w:t>
      </w:r>
      <w:r w:rsidRPr="00E820DA">
        <w:rPr>
          <w:rFonts w:ascii="Times New Roman" w:hAnsi="Times New Roman" w:cs="Times New Roman"/>
          <w:sz w:val="24"/>
          <w:szCs w:val="24"/>
        </w:rPr>
        <w:lastRenderedPageBreak/>
        <w:t xml:space="preserve">extensively studied but pinpoints why the study is essential. The authors' ideas are argumentatively aimed at engaging the reader to think along with the presented case, thus providing a third dimension. The author argues that police governance, when studied </w:t>
      </w:r>
      <w:proofErr w:type="gramStart"/>
      <w:r w:rsidRPr="00E820DA">
        <w:rPr>
          <w:rFonts w:ascii="Times New Roman" w:hAnsi="Times New Roman" w:cs="Times New Roman"/>
          <w:sz w:val="24"/>
          <w:szCs w:val="24"/>
        </w:rPr>
        <w:t>further,</w:t>
      </w:r>
      <w:proofErr w:type="gramEnd"/>
      <w:r w:rsidRPr="00E820DA">
        <w:rPr>
          <w:rFonts w:ascii="Times New Roman" w:hAnsi="Times New Roman" w:cs="Times New Roman"/>
          <w:sz w:val="24"/>
          <w:szCs w:val="24"/>
        </w:rPr>
        <w:t xml:space="preserve"> the reader may conceptualize their understanding from a different angle. The author is not explicit about the side of the argument that should be taken. However, the author does not present a new approach to the issue, either. The researcher intends to expose the nature of police operations in terms of governance and politics. The authors' ideas are divided into two- policy reforms and governance. In each of the ideas, the researcher presents the proponents and the adversary of the ideas from the literature review. The crafty and the chronological way in which the ideas are presented </w:t>
      </w:r>
      <w:proofErr w:type="gramStart"/>
      <w:r w:rsidRPr="00E820DA">
        <w:rPr>
          <w:rFonts w:ascii="Times New Roman" w:hAnsi="Times New Roman" w:cs="Times New Roman"/>
          <w:sz w:val="24"/>
          <w:szCs w:val="24"/>
        </w:rPr>
        <w:t>makes</w:t>
      </w:r>
      <w:proofErr w:type="gramEnd"/>
      <w:r w:rsidRPr="00E820DA">
        <w:rPr>
          <w:rFonts w:ascii="Times New Roman" w:hAnsi="Times New Roman" w:cs="Times New Roman"/>
          <w:sz w:val="24"/>
          <w:szCs w:val="24"/>
        </w:rPr>
        <w:t xml:space="preserve"> it possible to visualize the small details that can be overlooked easily. For instance, when introducing the reforms, the author prompts the reader about the norms and cites them as 'the way things are.' Such an approach ensures that the reader sees the other face of the idea.          </w:t>
      </w:r>
    </w:p>
    <w:p w:rsidR="00E820DA" w:rsidRPr="00E820DA" w:rsidRDefault="00E820DA" w:rsidP="00BF4737">
      <w:pPr>
        <w:spacing w:after="0" w:line="480" w:lineRule="auto"/>
        <w:contextualSpacing/>
        <w:jc w:val="center"/>
        <w:rPr>
          <w:rFonts w:ascii="Times New Roman" w:hAnsi="Times New Roman" w:cs="Times New Roman"/>
          <w:b/>
          <w:sz w:val="24"/>
          <w:szCs w:val="24"/>
        </w:rPr>
      </w:pPr>
      <w:r w:rsidRPr="00E820DA">
        <w:rPr>
          <w:rFonts w:ascii="Times New Roman" w:hAnsi="Times New Roman" w:cs="Times New Roman"/>
          <w:b/>
          <w:sz w:val="24"/>
          <w:szCs w:val="24"/>
        </w:rPr>
        <w:t>Structure of the Paper</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article comprises eight paragraphs. The first and the second paragraph introduces the reader into the topic while the last section concludes the ideas of the study. The other six paragraphs make up the body of the document expressing new ideas as well as the literature review. Additionally, the paper has an acknowledgment section and a reference list. The article begins with a direct citation from a different author. The concepts of the cited author prepare the backdrop for the presentation of the ideas. In the first paragraph, the author ensures that the reader understands the meaning of 'universal truth' in the context of the article. The author then defines the platform on how the ideas to be presented were collected. </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lastRenderedPageBreak/>
        <w:t xml:space="preserve">           The author has two significant ideas, namely governance, and police reform, which are presented chronologically, precisely, and concisely. The police reforms kick start the discussion after the acknowledgment of the police reform theme in European countries. The author highlights that reforms are often accompanied by restructuring the police institutions with promises of changes in the operations of the police service. The author asserts that reforms raise eyebrows on the new direction of doing things concerning the 'universal truth.'</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In the third paragraph, the author defines the reforms in Scotland, where regional police services were amalgamated into a single structural unit. The change takes place where the research is set, forming the basis of the study. The author evaluates the degree in which the reform deviates from the need to engage the public in policing.  The idea is well developed, and the paragraph concludes that in Europe, there is no universal truth regarding locals in policing.</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fourth paragraph introduces a new concept of governance as a build-up from the previous idea. The author compares governance and the term 'local' previously used in the examination of the police reforms. The authors discover that both words lack a common meaning across various jurisdictions in Europe. In the context of jurisdiction, the authors feel inadequate in providing a meaningful relationship between governance and police in the European context. The researchers cite limited sample spaces for the jurisdiction covered and propose to pursue the idea further in future work. </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fifth paragraph presents the other side of police reform in the United Kingdom. The author presents the divergent view probing the reader to evaluate the effectiveness of having elected police officers who have a limited degree of autonomy. The author contrasts the reforms in England and Wales, where the structure was expanded with Scotland, where the amalgamation of police force trimmed the structure.</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lastRenderedPageBreak/>
        <w:t xml:space="preserve">           The sixth paragraph examines governance in terms of police accountability from the individual level to the unit as a whole. Accountable governance demands the recognition of the locals through the enhanced rule of law (Henry and Aydın-Aitchison, 2019). The contrast is not so explicit since governance was undefined in the earlier paragraphs. </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author summarizes the ideas by showing their relevance. The conclusion is nicely done, showing the intention of the article review as a platform for awareness about the nature of police service. The ideas effortlessly paint the contested, messy, and contradictory picture of the police reforms and governance.</w:t>
      </w:r>
    </w:p>
    <w:p w:rsidR="00E820DA" w:rsidRPr="00E820DA" w:rsidRDefault="00E820DA" w:rsidP="00BF4737">
      <w:pPr>
        <w:spacing w:after="0" w:line="480" w:lineRule="auto"/>
        <w:contextualSpacing/>
        <w:jc w:val="center"/>
        <w:rPr>
          <w:rFonts w:ascii="Times New Roman" w:hAnsi="Times New Roman" w:cs="Times New Roman"/>
          <w:b/>
          <w:sz w:val="24"/>
          <w:szCs w:val="24"/>
        </w:rPr>
      </w:pPr>
      <w:r w:rsidRPr="00E820DA">
        <w:rPr>
          <w:rFonts w:ascii="Times New Roman" w:hAnsi="Times New Roman" w:cs="Times New Roman"/>
          <w:b/>
          <w:sz w:val="24"/>
          <w:szCs w:val="24"/>
        </w:rPr>
        <w:t>Literatures</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author reviews literature from five sources intertwined with various paragraphs of the article.  The authors' ideas are supported or contrasted by the literature review, which has been cited diligently. Annotation of the Bibliographies can shed more light on their contributions towards the article.</w:t>
      </w:r>
    </w:p>
    <w:p w:rsidR="00E820DA" w:rsidRPr="00E820DA" w:rsidRDefault="00E820DA" w:rsidP="00BF4737">
      <w:pPr>
        <w:spacing w:after="0" w:line="480" w:lineRule="auto"/>
        <w:contextualSpacing/>
        <w:rPr>
          <w:rFonts w:ascii="Times New Roman" w:hAnsi="Times New Roman" w:cs="Times New Roman"/>
          <w:b/>
          <w:i/>
          <w:sz w:val="24"/>
          <w:szCs w:val="24"/>
        </w:rPr>
      </w:pPr>
      <w:r w:rsidRPr="00E820DA">
        <w:rPr>
          <w:rFonts w:ascii="Times New Roman" w:hAnsi="Times New Roman" w:cs="Times New Roman"/>
          <w:b/>
          <w:i/>
          <w:sz w:val="24"/>
          <w:szCs w:val="24"/>
        </w:rPr>
        <w:t>Annotated Bibliographies</w:t>
      </w:r>
    </w:p>
    <w:p w:rsidR="00E820DA" w:rsidRPr="00E820DA" w:rsidRDefault="00E820DA" w:rsidP="00BF4737">
      <w:pPr>
        <w:pStyle w:val="ListParagraph"/>
        <w:numPr>
          <w:ilvl w:val="0"/>
          <w:numId w:val="1"/>
        </w:numPr>
        <w:spacing w:after="0" w:line="480" w:lineRule="auto"/>
        <w:rPr>
          <w:rFonts w:ascii="Times New Roman" w:hAnsi="Times New Roman" w:cs="Times New Roman"/>
          <w:sz w:val="24"/>
          <w:szCs w:val="24"/>
        </w:rPr>
      </w:pPr>
      <w:proofErr w:type="spellStart"/>
      <w:r w:rsidRPr="00E820DA">
        <w:rPr>
          <w:rFonts w:ascii="Times New Roman" w:hAnsi="Times New Roman" w:cs="Times New Roman"/>
          <w:sz w:val="24"/>
          <w:szCs w:val="24"/>
        </w:rPr>
        <w:t>Nelken</w:t>
      </w:r>
      <w:proofErr w:type="spellEnd"/>
      <w:r w:rsidRPr="00E820DA">
        <w:rPr>
          <w:rFonts w:ascii="Times New Roman" w:hAnsi="Times New Roman" w:cs="Times New Roman"/>
          <w:sz w:val="24"/>
          <w:szCs w:val="24"/>
        </w:rPr>
        <w:t xml:space="preserve">, D (2017) Rethinking comparative criminal justice. In: </w:t>
      </w:r>
      <w:proofErr w:type="spellStart"/>
      <w:r w:rsidRPr="00E820DA">
        <w:rPr>
          <w:rFonts w:ascii="Times New Roman" w:hAnsi="Times New Roman" w:cs="Times New Roman"/>
          <w:sz w:val="24"/>
          <w:szCs w:val="24"/>
        </w:rPr>
        <w:t>Liebling</w:t>
      </w:r>
      <w:proofErr w:type="spellEnd"/>
      <w:r w:rsidRPr="00E820DA">
        <w:rPr>
          <w:rFonts w:ascii="Times New Roman" w:hAnsi="Times New Roman" w:cs="Times New Roman"/>
          <w:sz w:val="24"/>
          <w:szCs w:val="24"/>
        </w:rPr>
        <w:t xml:space="preserve"> A, </w:t>
      </w:r>
      <w:proofErr w:type="spellStart"/>
      <w:r w:rsidRPr="00E820DA">
        <w:rPr>
          <w:rFonts w:ascii="Times New Roman" w:hAnsi="Times New Roman" w:cs="Times New Roman"/>
          <w:sz w:val="24"/>
          <w:szCs w:val="24"/>
        </w:rPr>
        <w:t>Maruna</w:t>
      </w:r>
      <w:proofErr w:type="spellEnd"/>
      <w:r w:rsidRPr="00E820DA">
        <w:rPr>
          <w:rFonts w:ascii="Times New Roman" w:hAnsi="Times New Roman" w:cs="Times New Roman"/>
          <w:sz w:val="24"/>
          <w:szCs w:val="24"/>
        </w:rPr>
        <w:t xml:space="preserve"> S and </w:t>
      </w:r>
      <w:proofErr w:type="spellStart"/>
      <w:r w:rsidRPr="00E820DA">
        <w:rPr>
          <w:rFonts w:ascii="Times New Roman" w:hAnsi="Times New Roman" w:cs="Times New Roman"/>
          <w:sz w:val="24"/>
          <w:szCs w:val="24"/>
        </w:rPr>
        <w:t>McAra</w:t>
      </w:r>
      <w:proofErr w:type="spellEnd"/>
      <w:r w:rsidRPr="00E820DA">
        <w:rPr>
          <w:rFonts w:ascii="Times New Roman" w:hAnsi="Times New Roman" w:cs="Times New Roman"/>
          <w:sz w:val="24"/>
          <w:szCs w:val="24"/>
        </w:rPr>
        <w:t xml:space="preserve"> L (</w:t>
      </w:r>
      <w:proofErr w:type="spellStart"/>
      <w:proofErr w:type="gramStart"/>
      <w:r w:rsidRPr="00E820DA">
        <w:rPr>
          <w:rFonts w:ascii="Times New Roman" w:hAnsi="Times New Roman" w:cs="Times New Roman"/>
          <w:sz w:val="24"/>
          <w:szCs w:val="24"/>
        </w:rPr>
        <w:t>eds</w:t>
      </w:r>
      <w:proofErr w:type="spellEnd"/>
      <w:proofErr w:type="gramEnd"/>
      <w:r w:rsidRPr="00E820DA">
        <w:rPr>
          <w:rFonts w:ascii="Times New Roman" w:hAnsi="Times New Roman" w:cs="Times New Roman"/>
          <w:sz w:val="24"/>
          <w:szCs w:val="24"/>
        </w:rPr>
        <w:t xml:space="preserve">) </w:t>
      </w:r>
      <w:r w:rsidRPr="00C0209A">
        <w:rPr>
          <w:rFonts w:ascii="Times New Roman" w:hAnsi="Times New Roman" w:cs="Times New Roman"/>
          <w:i/>
          <w:sz w:val="24"/>
          <w:szCs w:val="24"/>
        </w:rPr>
        <w:t>Oxford Handbook of Criminology,</w:t>
      </w:r>
      <w:r w:rsidRPr="00E820DA">
        <w:rPr>
          <w:rFonts w:ascii="Times New Roman" w:hAnsi="Times New Roman" w:cs="Times New Roman"/>
          <w:sz w:val="24"/>
          <w:szCs w:val="24"/>
        </w:rPr>
        <w:t xml:space="preserve"> 6th </w:t>
      </w:r>
      <w:proofErr w:type="spellStart"/>
      <w:r w:rsidRPr="00E820DA">
        <w:rPr>
          <w:rFonts w:ascii="Times New Roman" w:hAnsi="Times New Roman" w:cs="Times New Roman"/>
          <w:sz w:val="24"/>
          <w:szCs w:val="24"/>
        </w:rPr>
        <w:t>edn</w:t>
      </w:r>
      <w:proofErr w:type="spellEnd"/>
      <w:r w:rsidRPr="00E820DA">
        <w:rPr>
          <w:rFonts w:ascii="Times New Roman" w:hAnsi="Times New Roman" w:cs="Times New Roman"/>
          <w:sz w:val="24"/>
          <w:szCs w:val="24"/>
        </w:rPr>
        <w:t>. Oxford: Oxford University Press, 416–437.</w:t>
      </w:r>
    </w:p>
    <w:p w:rsidR="00E820DA" w:rsidRPr="00C0209A" w:rsidRDefault="00E820DA" w:rsidP="00BF4737">
      <w:pPr>
        <w:spacing w:after="0" w:line="480" w:lineRule="auto"/>
        <w:contextualSpacing/>
        <w:rPr>
          <w:rFonts w:ascii="Times New Roman" w:hAnsi="Times New Roman" w:cs="Times New Roman"/>
          <w:b/>
          <w:i/>
          <w:sz w:val="24"/>
          <w:szCs w:val="24"/>
        </w:rPr>
      </w:pPr>
      <w:r w:rsidRPr="00C0209A">
        <w:rPr>
          <w:rFonts w:ascii="Times New Roman" w:hAnsi="Times New Roman" w:cs="Times New Roman"/>
          <w:b/>
          <w:i/>
          <w:sz w:val="24"/>
          <w:szCs w:val="24"/>
        </w:rPr>
        <w:t xml:space="preserve">Annotation </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article forms the backbone of the study. The author acknowledges </w:t>
      </w:r>
      <w:proofErr w:type="spellStart"/>
      <w:r w:rsidRPr="00E820DA">
        <w:rPr>
          <w:rFonts w:ascii="Times New Roman" w:hAnsi="Times New Roman" w:cs="Times New Roman"/>
          <w:sz w:val="24"/>
          <w:szCs w:val="24"/>
        </w:rPr>
        <w:t>Nelken</w:t>
      </w:r>
      <w:proofErr w:type="spellEnd"/>
      <w:r w:rsidRPr="00E820DA">
        <w:rPr>
          <w:rFonts w:ascii="Times New Roman" w:hAnsi="Times New Roman" w:cs="Times New Roman"/>
          <w:sz w:val="24"/>
          <w:szCs w:val="24"/>
        </w:rPr>
        <w:t xml:space="preserve"> as having done systematic comparative research, which pivots the discussion provided by the author. The article was instrumental in defining reforms in Europe. The report asserts that community policing is a result of community demands, an idea the author does not dispute.</w:t>
      </w:r>
    </w:p>
    <w:p w:rsidR="00E820DA" w:rsidRPr="00C0209A" w:rsidRDefault="00E820DA" w:rsidP="00BF4737">
      <w:pPr>
        <w:pStyle w:val="ListParagraph"/>
        <w:numPr>
          <w:ilvl w:val="0"/>
          <w:numId w:val="1"/>
        </w:numPr>
        <w:spacing w:after="0" w:line="480" w:lineRule="auto"/>
        <w:rPr>
          <w:rFonts w:ascii="Times New Roman" w:hAnsi="Times New Roman" w:cs="Times New Roman"/>
          <w:sz w:val="24"/>
          <w:szCs w:val="24"/>
        </w:rPr>
      </w:pPr>
      <w:proofErr w:type="spellStart"/>
      <w:r w:rsidRPr="00C0209A">
        <w:rPr>
          <w:rFonts w:ascii="Times New Roman" w:hAnsi="Times New Roman" w:cs="Times New Roman"/>
          <w:sz w:val="24"/>
          <w:szCs w:val="24"/>
        </w:rPr>
        <w:lastRenderedPageBreak/>
        <w:t>Bevir</w:t>
      </w:r>
      <w:proofErr w:type="spellEnd"/>
      <w:r w:rsidRPr="00C0209A">
        <w:rPr>
          <w:rFonts w:ascii="Times New Roman" w:hAnsi="Times New Roman" w:cs="Times New Roman"/>
          <w:sz w:val="24"/>
          <w:szCs w:val="24"/>
        </w:rPr>
        <w:t xml:space="preserve"> M (2010) </w:t>
      </w:r>
      <w:r w:rsidRPr="00C0209A">
        <w:rPr>
          <w:rFonts w:ascii="Times New Roman" w:hAnsi="Times New Roman" w:cs="Times New Roman"/>
          <w:i/>
          <w:sz w:val="24"/>
          <w:szCs w:val="24"/>
        </w:rPr>
        <w:t>Democratic Governance.</w:t>
      </w:r>
      <w:r w:rsidRPr="00C0209A">
        <w:rPr>
          <w:rFonts w:ascii="Times New Roman" w:hAnsi="Times New Roman" w:cs="Times New Roman"/>
          <w:sz w:val="24"/>
          <w:szCs w:val="24"/>
        </w:rPr>
        <w:t xml:space="preserve"> Princeton, NJ, and Oxford: Princeton University Press. </w:t>
      </w:r>
    </w:p>
    <w:p w:rsidR="00E820DA" w:rsidRPr="00C0209A" w:rsidRDefault="00E820DA" w:rsidP="00BF4737">
      <w:pPr>
        <w:spacing w:after="0" w:line="480" w:lineRule="auto"/>
        <w:contextualSpacing/>
        <w:rPr>
          <w:rFonts w:ascii="Times New Roman" w:hAnsi="Times New Roman" w:cs="Times New Roman"/>
          <w:b/>
          <w:i/>
          <w:sz w:val="24"/>
          <w:szCs w:val="24"/>
        </w:rPr>
      </w:pPr>
      <w:r w:rsidRPr="00C0209A">
        <w:rPr>
          <w:rFonts w:ascii="Times New Roman" w:hAnsi="Times New Roman" w:cs="Times New Roman"/>
          <w:b/>
          <w:i/>
          <w:sz w:val="24"/>
          <w:szCs w:val="24"/>
        </w:rPr>
        <w:t xml:space="preserve">Annotation </w:t>
      </w:r>
    </w:p>
    <w:p w:rsidR="00E820DA" w:rsidRPr="00E820DA" w:rsidRDefault="00C0209A" w:rsidP="00BF473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820DA" w:rsidRPr="00E820DA">
        <w:rPr>
          <w:rFonts w:ascii="Times New Roman" w:hAnsi="Times New Roman" w:cs="Times New Roman"/>
          <w:sz w:val="24"/>
          <w:szCs w:val="24"/>
        </w:rPr>
        <w:t>The article introduces a different perspective on governance. The article leads to the revelation that governance is not strictly bound to specific frameworks of institutional functions. The realization helps the author to build on the theory with further research. According to the writer, the views converge.</w:t>
      </w:r>
    </w:p>
    <w:p w:rsidR="00E820DA" w:rsidRPr="004E7335" w:rsidRDefault="00E820DA" w:rsidP="00BF4737">
      <w:pPr>
        <w:pStyle w:val="ListParagraph"/>
        <w:numPr>
          <w:ilvl w:val="0"/>
          <w:numId w:val="1"/>
        </w:numPr>
        <w:spacing w:after="0" w:line="480" w:lineRule="auto"/>
        <w:rPr>
          <w:rFonts w:ascii="Times New Roman" w:hAnsi="Times New Roman" w:cs="Times New Roman"/>
          <w:sz w:val="24"/>
          <w:szCs w:val="24"/>
        </w:rPr>
      </w:pPr>
      <w:proofErr w:type="spellStart"/>
      <w:r w:rsidRPr="004E7335">
        <w:rPr>
          <w:rFonts w:ascii="Times New Roman" w:hAnsi="Times New Roman" w:cs="Times New Roman"/>
          <w:sz w:val="24"/>
          <w:szCs w:val="24"/>
        </w:rPr>
        <w:t>Brogden</w:t>
      </w:r>
      <w:proofErr w:type="spellEnd"/>
      <w:r w:rsidRPr="004E7335">
        <w:rPr>
          <w:rFonts w:ascii="Times New Roman" w:hAnsi="Times New Roman" w:cs="Times New Roman"/>
          <w:sz w:val="24"/>
          <w:szCs w:val="24"/>
        </w:rPr>
        <w:t xml:space="preserve"> M and </w:t>
      </w:r>
      <w:proofErr w:type="spellStart"/>
      <w:r w:rsidRPr="004E7335">
        <w:rPr>
          <w:rFonts w:ascii="Times New Roman" w:hAnsi="Times New Roman" w:cs="Times New Roman"/>
          <w:sz w:val="24"/>
          <w:szCs w:val="24"/>
        </w:rPr>
        <w:t>Nijhar</w:t>
      </w:r>
      <w:proofErr w:type="spellEnd"/>
      <w:r w:rsidRPr="004E7335">
        <w:rPr>
          <w:rFonts w:ascii="Times New Roman" w:hAnsi="Times New Roman" w:cs="Times New Roman"/>
          <w:sz w:val="24"/>
          <w:szCs w:val="24"/>
        </w:rPr>
        <w:t xml:space="preserve"> P (2005)</w:t>
      </w:r>
      <w:r w:rsidRPr="004E7335">
        <w:rPr>
          <w:rFonts w:ascii="Times New Roman" w:hAnsi="Times New Roman" w:cs="Times New Roman"/>
          <w:i/>
          <w:sz w:val="24"/>
          <w:szCs w:val="24"/>
        </w:rPr>
        <w:t xml:space="preserve"> Community Policing: National and International Models and Approaches</w:t>
      </w:r>
      <w:r w:rsidRPr="004E7335">
        <w:rPr>
          <w:rFonts w:ascii="Times New Roman" w:hAnsi="Times New Roman" w:cs="Times New Roman"/>
          <w:sz w:val="24"/>
          <w:szCs w:val="24"/>
        </w:rPr>
        <w:t xml:space="preserve">. </w:t>
      </w:r>
      <w:proofErr w:type="spellStart"/>
      <w:r w:rsidRPr="004E7335">
        <w:rPr>
          <w:rFonts w:ascii="Times New Roman" w:hAnsi="Times New Roman" w:cs="Times New Roman"/>
          <w:sz w:val="24"/>
          <w:szCs w:val="24"/>
        </w:rPr>
        <w:t>Cullompton</w:t>
      </w:r>
      <w:proofErr w:type="spellEnd"/>
      <w:r w:rsidRPr="004E7335">
        <w:rPr>
          <w:rFonts w:ascii="Times New Roman" w:hAnsi="Times New Roman" w:cs="Times New Roman"/>
          <w:sz w:val="24"/>
          <w:szCs w:val="24"/>
        </w:rPr>
        <w:t xml:space="preserve">: </w:t>
      </w:r>
      <w:proofErr w:type="spellStart"/>
      <w:r w:rsidRPr="004E7335">
        <w:rPr>
          <w:rFonts w:ascii="Times New Roman" w:hAnsi="Times New Roman" w:cs="Times New Roman"/>
          <w:sz w:val="24"/>
          <w:szCs w:val="24"/>
        </w:rPr>
        <w:t>Willan</w:t>
      </w:r>
      <w:proofErr w:type="spellEnd"/>
      <w:r w:rsidRPr="004E7335">
        <w:rPr>
          <w:rFonts w:ascii="Times New Roman" w:hAnsi="Times New Roman" w:cs="Times New Roman"/>
          <w:sz w:val="24"/>
          <w:szCs w:val="24"/>
        </w:rPr>
        <w:t xml:space="preserve"> Publishing.</w:t>
      </w:r>
    </w:p>
    <w:p w:rsidR="00E820DA" w:rsidRPr="004E7335" w:rsidRDefault="00E820DA" w:rsidP="00BF4737">
      <w:pPr>
        <w:spacing w:after="0" w:line="480" w:lineRule="auto"/>
        <w:contextualSpacing/>
        <w:rPr>
          <w:rFonts w:ascii="Times New Roman" w:hAnsi="Times New Roman" w:cs="Times New Roman"/>
          <w:b/>
          <w:i/>
          <w:sz w:val="24"/>
          <w:szCs w:val="24"/>
        </w:rPr>
      </w:pPr>
      <w:r w:rsidRPr="004E7335">
        <w:rPr>
          <w:rFonts w:ascii="Times New Roman" w:hAnsi="Times New Roman" w:cs="Times New Roman"/>
          <w:b/>
          <w:i/>
          <w:sz w:val="24"/>
          <w:szCs w:val="24"/>
        </w:rPr>
        <w:t xml:space="preserve">Annotation </w:t>
      </w:r>
    </w:p>
    <w:p w:rsidR="00E820DA" w:rsidRPr="00E820DA" w:rsidRDefault="004E7335" w:rsidP="00BF473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820DA" w:rsidRPr="00E820DA">
        <w:rPr>
          <w:rFonts w:ascii="Times New Roman" w:hAnsi="Times New Roman" w:cs="Times New Roman"/>
          <w:sz w:val="24"/>
          <w:szCs w:val="24"/>
        </w:rPr>
        <w:t>The study is instrumental to the writer since it offers a divergent view regarding the complacency to community demands for participation in policing. The article underlines the possibility of controversy among the local people for joint policing. The perspective offered by this article prompts the author to start discussions that conclude the nonexistence of universal truth about local policing in Europe.</w:t>
      </w:r>
    </w:p>
    <w:p w:rsidR="00E820DA" w:rsidRPr="006F567F" w:rsidRDefault="00E820DA" w:rsidP="00BF4737">
      <w:pPr>
        <w:pStyle w:val="ListParagraph"/>
        <w:numPr>
          <w:ilvl w:val="0"/>
          <w:numId w:val="1"/>
        </w:numPr>
        <w:spacing w:after="0" w:line="480" w:lineRule="auto"/>
        <w:rPr>
          <w:rFonts w:ascii="Times New Roman" w:hAnsi="Times New Roman" w:cs="Times New Roman"/>
          <w:sz w:val="24"/>
          <w:szCs w:val="24"/>
        </w:rPr>
      </w:pPr>
      <w:r w:rsidRPr="006F567F">
        <w:rPr>
          <w:rFonts w:ascii="Times New Roman" w:hAnsi="Times New Roman" w:cs="Times New Roman"/>
          <w:sz w:val="24"/>
          <w:szCs w:val="24"/>
        </w:rPr>
        <w:t xml:space="preserve">Fyfe NR, </w:t>
      </w:r>
      <w:proofErr w:type="spellStart"/>
      <w:r w:rsidRPr="006F567F">
        <w:rPr>
          <w:rFonts w:ascii="Times New Roman" w:hAnsi="Times New Roman" w:cs="Times New Roman"/>
          <w:sz w:val="24"/>
          <w:szCs w:val="24"/>
        </w:rPr>
        <w:t>Terpstra</w:t>
      </w:r>
      <w:proofErr w:type="spellEnd"/>
      <w:r w:rsidRPr="006F567F">
        <w:rPr>
          <w:rFonts w:ascii="Times New Roman" w:hAnsi="Times New Roman" w:cs="Times New Roman"/>
          <w:sz w:val="24"/>
          <w:szCs w:val="24"/>
        </w:rPr>
        <w:t xml:space="preserve"> J, and Tops P (2013)</w:t>
      </w:r>
      <w:r w:rsidRPr="006F567F">
        <w:rPr>
          <w:rFonts w:ascii="Times New Roman" w:hAnsi="Times New Roman" w:cs="Times New Roman"/>
          <w:i/>
          <w:sz w:val="24"/>
          <w:szCs w:val="24"/>
        </w:rPr>
        <w:t xml:space="preserve"> Centralizing Forces? Comparative Perspectives on Contemporary Police Reform in Northern and Western Europe</w:t>
      </w:r>
      <w:r w:rsidRPr="006F567F">
        <w:rPr>
          <w:rFonts w:ascii="Times New Roman" w:hAnsi="Times New Roman" w:cs="Times New Roman"/>
          <w:sz w:val="24"/>
          <w:szCs w:val="24"/>
        </w:rPr>
        <w:t>. The Hague: Eleven International Publishing.</w:t>
      </w:r>
    </w:p>
    <w:p w:rsidR="00E820DA" w:rsidRPr="006F567F" w:rsidRDefault="00E820DA" w:rsidP="00BF4737">
      <w:pPr>
        <w:pStyle w:val="ListParagraph"/>
        <w:numPr>
          <w:ilvl w:val="0"/>
          <w:numId w:val="1"/>
        </w:numPr>
        <w:spacing w:after="0" w:line="480" w:lineRule="auto"/>
        <w:rPr>
          <w:rFonts w:ascii="Times New Roman" w:hAnsi="Times New Roman" w:cs="Times New Roman"/>
          <w:sz w:val="24"/>
          <w:szCs w:val="24"/>
        </w:rPr>
      </w:pPr>
      <w:r w:rsidRPr="006F567F">
        <w:rPr>
          <w:rFonts w:ascii="Times New Roman" w:hAnsi="Times New Roman" w:cs="Times New Roman"/>
          <w:sz w:val="24"/>
          <w:szCs w:val="24"/>
        </w:rPr>
        <w:t xml:space="preserve">Henry A, Malik A, and Aydın-Aitchison (2019) Local governance in the new Police Scotland: Renegotiating power, recognition, and responsiveness. </w:t>
      </w:r>
      <w:r w:rsidRPr="006F567F">
        <w:rPr>
          <w:rFonts w:ascii="Times New Roman" w:hAnsi="Times New Roman" w:cs="Times New Roman"/>
          <w:i/>
          <w:sz w:val="24"/>
          <w:szCs w:val="24"/>
        </w:rPr>
        <w:t>European Journal of Criminology</w:t>
      </w:r>
      <w:r w:rsidR="006F567F">
        <w:rPr>
          <w:rFonts w:ascii="Times New Roman" w:hAnsi="Times New Roman" w:cs="Times New Roman"/>
          <w:sz w:val="24"/>
          <w:szCs w:val="24"/>
        </w:rPr>
        <w:t>, 16(5),</w:t>
      </w:r>
      <w:r w:rsidRPr="006F567F">
        <w:rPr>
          <w:rFonts w:ascii="Times New Roman" w:hAnsi="Times New Roman" w:cs="Times New Roman"/>
          <w:sz w:val="24"/>
          <w:szCs w:val="24"/>
        </w:rPr>
        <w:t xml:space="preserve"> 573–591.</w:t>
      </w:r>
    </w:p>
    <w:p w:rsidR="00E820DA" w:rsidRPr="006F567F" w:rsidRDefault="00E820DA" w:rsidP="00BF4737">
      <w:pPr>
        <w:spacing w:after="0" w:line="480" w:lineRule="auto"/>
        <w:contextualSpacing/>
        <w:rPr>
          <w:rFonts w:ascii="Times New Roman" w:hAnsi="Times New Roman" w:cs="Times New Roman"/>
          <w:b/>
          <w:i/>
          <w:sz w:val="24"/>
          <w:szCs w:val="24"/>
        </w:rPr>
      </w:pPr>
      <w:r w:rsidRPr="006F567F">
        <w:rPr>
          <w:rFonts w:ascii="Times New Roman" w:hAnsi="Times New Roman" w:cs="Times New Roman"/>
          <w:b/>
          <w:i/>
          <w:sz w:val="24"/>
          <w:szCs w:val="24"/>
        </w:rPr>
        <w:t xml:space="preserve">Annotation </w:t>
      </w:r>
    </w:p>
    <w:p w:rsidR="00E820DA" w:rsidRPr="00E820DA" w:rsidRDefault="006F567F" w:rsidP="00BF473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E820DA" w:rsidRPr="00E820DA">
        <w:rPr>
          <w:rFonts w:ascii="Times New Roman" w:hAnsi="Times New Roman" w:cs="Times New Roman"/>
          <w:sz w:val="24"/>
          <w:szCs w:val="24"/>
        </w:rPr>
        <w:t>The two articles offer insights about local policing and the consequences resulting from the economic hard times. The reports also show the divergence in views regarding police reforms in Europe. The studies demonstrate that reforms without proper support from the legislature cannot bear meaningful results.</w:t>
      </w:r>
    </w:p>
    <w:p w:rsidR="00E820DA" w:rsidRPr="00DF068A" w:rsidRDefault="00E820DA" w:rsidP="00BF4737">
      <w:pPr>
        <w:spacing w:after="0" w:line="480" w:lineRule="auto"/>
        <w:contextualSpacing/>
        <w:jc w:val="center"/>
        <w:rPr>
          <w:rFonts w:ascii="Times New Roman" w:hAnsi="Times New Roman" w:cs="Times New Roman"/>
          <w:b/>
          <w:sz w:val="24"/>
          <w:szCs w:val="24"/>
        </w:rPr>
      </w:pPr>
      <w:r w:rsidRPr="00DF068A">
        <w:rPr>
          <w:rFonts w:ascii="Times New Roman" w:hAnsi="Times New Roman" w:cs="Times New Roman"/>
          <w:b/>
          <w:sz w:val="24"/>
          <w:szCs w:val="24"/>
        </w:rPr>
        <w:t>Methodology</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authors' primary method for collecting information was through literature review. The reviewed articles were books and a journal. The literature reviewed had gathered the published information through various methods enabling a blend of methodologies in the report. The author documents that the results from the article reviews informed the panel sessions and other working groups that culminated in publishing the research. The presentation of the data is textual. The article uses results from reviewed material with synthesized data. Since the intention of the author is to provide information about police governance, the reviewed articles are sufficient to support the author's effort.</w:t>
      </w:r>
    </w:p>
    <w:p w:rsidR="00E820DA" w:rsidRPr="00F90818" w:rsidRDefault="00E820DA" w:rsidP="00BF4737">
      <w:pPr>
        <w:spacing w:after="0" w:line="480" w:lineRule="auto"/>
        <w:contextualSpacing/>
        <w:jc w:val="center"/>
        <w:rPr>
          <w:rFonts w:ascii="Times New Roman" w:hAnsi="Times New Roman" w:cs="Times New Roman"/>
          <w:b/>
          <w:sz w:val="24"/>
          <w:szCs w:val="24"/>
        </w:rPr>
      </w:pPr>
      <w:r w:rsidRPr="00F90818">
        <w:rPr>
          <w:rFonts w:ascii="Times New Roman" w:hAnsi="Times New Roman" w:cs="Times New Roman"/>
          <w:b/>
          <w:sz w:val="24"/>
          <w:szCs w:val="24"/>
        </w:rPr>
        <w:t>Conclusion</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The author concludes that all the reviewed articles had a significant contribution to the examination of police governance in Europe. The study aimed to examine the views of the research articles against the effectiveness of local policing referred to in the report as a universal truth. All the reviewed articles critically evaluated the assumption portraying a picture of a messy police force. The conclusion presented does not hint at a broader implication beyond the focus of the article. However, the article review on governance was not comprehensive enough to necessitating a need for future work. There is a need for further research so that it can be possible to take sides when concluding. </w:t>
      </w:r>
    </w:p>
    <w:p w:rsidR="00E820DA" w:rsidRPr="00112630" w:rsidRDefault="00E820DA" w:rsidP="00BF4737">
      <w:pPr>
        <w:spacing w:after="0" w:line="480" w:lineRule="auto"/>
        <w:contextualSpacing/>
        <w:jc w:val="center"/>
        <w:rPr>
          <w:rFonts w:ascii="Times New Roman" w:hAnsi="Times New Roman" w:cs="Times New Roman"/>
          <w:b/>
          <w:sz w:val="24"/>
          <w:szCs w:val="24"/>
        </w:rPr>
      </w:pPr>
      <w:r w:rsidRPr="00112630">
        <w:rPr>
          <w:rFonts w:ascii="Times New Roman" w:hAnsi="Times New Roman" w:cs="Times New Roman"/>
          <w:b/>
          <w:sz w:val="24"/>
          <w:szCs w:val="24"/>
        </w:rPr>
        <w:t>Bibliography</w:t>
      </w:r>
    </w:p>
    <w:p w:rsidR="00E820DA" w:rsidRP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lastRenderedPageBreak/>
        <w:t xml:space="preserve">           The author cites five articles for the whole research. The cited articles are recent, with the oldest having been published in the year 2005. The most recent article in the reference list is dated 2019. The bibliography is made up of four books and a journal article. The author was articulate in his research, leaving out other types of documents. The reference list did not have any internet sources or citations from Wikipedia.</w:t>
      </w:r>
    </w:p>
    <w:p w:rsidR="00E820DA" w:rsidRPr="00E820DA" w:rsidRDefault="00E820DA" w:rsidP="00BF4737">
      <w:pPr>
        <w:spacing w:after="0" w:line="480" w:lineRule="auto"/>
        <w:contextualSpacing/>
        <w:rPr>
          <w:rFonts w:ascii="Times New Roman" w:hAnsi="Times New Roman" w:cs="Times New Roman"/>
          <w:sz w:val="24"/>
          <w:szCs w:val="24"/>
        </w:rPr>
      </w:pPr>
    </w:p>
    <w:p w:rsidR="00E820DA" w:rsidRDefault="00E820DA" w:rsidP="00BF4737">
      <w:pPr>
        <w:spacing w:after="0" w:line="480" w:lineRule="auto"/>
        <w:contextualSpacing/>
        <w:rPr>
          <w:rFonts w:ascii="Times New Roman" w:hAnsi="Times New Roman" w:cs="Times New Roman"/>
          <w:sz w:val="24"/>
          <w:szCs w:val="24"/>
        </w:rPr>
      </w:pPr>
      <w:r w:rsidRPr="00E820DA">
        <w:rPr>
          <w:rFonts w:ascii="Times New Roman" w:hAnsi="Times New Roman" w:cs="Times New Roman"/>
          <w:sz w:val="24"/>
          <w:szCs w:val="24"/>
        </w:rPr>
        <w:t xml:space="preserve">  </w:t>
      </w:r>
    </w:p>
    <w:p w:rsidR="00A34BC9" w:rsidRDefault="00A34BC9" w:rsidP="00BF473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55C92" w:rsidRDefault="007A6EE5" w:rsidP="00BF4737">
      <w:pPr>
        <w:spacing w:after="0" w:line="480" w:lineRule="auto"/>
        <w:contextualSpacing/>
        <w:jc w:val="center"/>
        <w:rPr>
          <w:rFonts w:ascii="Times New Roman" w:hAnsi="Times New Roman" w:cs="Times New Roman"/>
          <w:sz w:val="24"/>
          <w:szCs w:val="24"/>
        </w:rPr>
      </w:pPr>
      <w:r w:rsidRPr="004B1638">
        <w:rPr>
          <w:rFonts w:ascii="Times New Roman" w:hAnsi="Times New Roman" w:cs="Times New Roman"/>
          <w:sz w:val="24"/>
          <w:szCs w:val="24"/>
        </w:rPr>
        <w:lastRenderedPageBreak/>
        <w:t>References</w:t>
      </w:r>
    </w:p>
    <w:p w:rsidR="000E28BE" w:rsidRPr="00891274" w:rsidRDefault="00891274" w:rsidP="00BF4737">
      <w:pPr>
        <w:spacing w:after="0" w:line="480" w:lineRule="auto"/>
        <w:contextualSpacing/>
        <w:rPr>
          <w:rFonts w:ascii="Times New Roman" w:hAnsi="Times New Roman" w:cs="Times New Roman"/>
          <w:sz w:val="24"/>
          <w:szCs w:val="24"/>
        </w:rPr>
      </w:pPr>
      <w:r w:rsidRPr="00891274">
        <w:rPr>
          <w:rFonts w:ascii="Times New Roman" w:hAnsi="Times New Roman" w:cs="Times New Roman"/>
          <w:sz w:val="24"/>
          <w:szCs w:val="24"/>
        </w:rPr>
        <w:t xml:space="preserve">Henry, A., &amp; Aydın-Aitchison, A. (2019). Introduction: Local police governance: European </w:t>
      </w:r>
      <w:r>
        <w:rPr>
          <w:rFonts w:ascii="Times New Roman" w:hAnsi="Times New Roman" w:cs="Times New Roman"/>
          <w:sz w:val="24"/>
          <w:szCs w:val="24"/>
        </w:rPr>
        <w:tab/>
      </w:r>
      <w:r w:rsidRPr="00891274">
        <w:rPr>
          <w:rFonts w:ascii="Times New Roman" w:hAnsi="Times New Roman" w:cs="Times New Roman"/>
          <w:sz w:val="24"/>
          <w:szCs w:val="24"/>
        </w:rPr>
        <w:t xml:space="preserve">perspectives. </w:t>
      </w:r>
      <w:r w:rsidRPr="00891274">
        <w:rPr>
          <w:rFonts w:ascii="Times New Roman" w:hAnsi="Times New Roman" w:cs="Times New Roman"/>
          <w:i/>
          <w:sz w:val="24"/>
          <w:szCs w:val="24"/>
        </w:rPr>
        <w:t>European Journal of Criminology</w:t>
      </w:r>
      <w:r w:rsidRPr="00891274">
        <w:rPr>
          <w:rFonts w:ascii="Times New Roman" w:hAnsi="Times New Roman" w:cs="Times New Roman"/>
          <w:sz w:val="24"/>
          <w:szCs w:val="24"/>
        </w:rPr>
        <w:t>,</w:t>
      </w:r>
      <w:r>
        <w:rPr>
          <w:rFonts w:ascii="Times New Roman" w:hAnsi="Times New Roman" w:cs="Times New Roman"/>
          <w:sz w:val="24"/>
          <w:szCs w:val="24"/>
        </w:rPr>
        <w:t xml:space="preserve"> 1-4</w:t>
      </w:r>
    </w:p>
    <w:bookmarkEnd w:id="0"/>
    <w:p w:rsidR="009B2B00" w:rsidRDefault="009B2B00" w:rsidP="00BF4737">
      <w:pPr>
        <w:spacing w:after="0" w:line="480" w:lineRule="auto"/>
        <w:contextualSpacing/>
        <w:rPr>
          <w:rFonts w:ascii="Times New Roman" w:hAnsi="Times New Roman" w:cs="Times New Roman"/>
          <w:sz w:val="24"/>
          <w:szCs w:val="24"/>
        </w:rPr>
      </w:pPr>
    </w:p>
    <w:sectPr w:rsidR="009B2B00" w:rsidSect="000A2E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B4B" w:rsidRDefault="00BB4B4B" w:rsidP="00B01586">
      <w:pPr>
        <w:spacing w:after="0" w:line="240" w:lineRule="auto"/>
      </w:pPr>
      <w:r>
        <w:separator/>
      </w:r>
    </w:p>
  </w:endnote>
  <w:endnote w:type="continuationSeparator" w:id="0">
    <w:p w:rsidR="00BB4B4B" w:rsidRDefault="00BB4B4B" w:rsidP="00B0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B4B" w:rsidRDefault="00BB4B4B" w:rsidP="00B01586">
      <w:pPr>
        <w:spacing w:after="0" w:line="240" w:lineRule="auto"/>
      </w:pPr>
      <w:r>
        <w:separator/>
      </w:r>
    </w:p>
  </w:footnote>
  <w:footnote w:type="continuationSeparator" w:id="0">
    <w:p w:rsidR="00BB4B4B" w:rsidRDefault="00BB4B4B" w:rsidP="00B01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D02" w:rsidRPr="000A2EB2" w:rsidRDefault="00197C7E" w:rsidP="008A28CC">
    <w:pPr>
      <w:pStyle w:val="Header"/>
      <w:jc w:val="center"/>
      <w:rPr>
        <w:rFonts w:ascii="Times New Roman" w:hAnsi="Times New Roman" w:cs="Times New Roman"/>
        <w:sz w:val="24"/>
        <w:szCs w:val="24"/>
      </w:rPr>
    </w:pPr>
    <w:r>
      <w:rPr>
        <w:rFonts w:ascii="Times New Roman" w:hAnsi="Times New Roman" w:cs="Times New Roman"/>
        <w:sz w:val="20"/>
        <w:szCs w:val="20"/>
      </w:rPr>
      <w:t xml:space="preserve">  ARTICLE REVIEW</w:t>
    </w:r>
    <w:r w:rsidR="00F16D02" w:rsidRPr="008C45B5">
      <w:rPr>
        <w:rFonts w:ascii="Times New Roman" w:hAnsi="Times New Roman" w:cs="Times New Roman"/>
        <w:sz w:val="20"/>
        <w:szCs w:val="20"/>
      </w:rPr>
      <w:tab/>
    </w:r>
    <w:r w:rsidR="00F16D02" w:rsidRPr="000A2EB2">
      <w:rPr>
        <w:rFonts w:ascii="Times New Roman" w:hAnsi="Times New Roman" w:cs="Times New Roman"/>
        <w:sz w:val="24"/>
        <w:szCs w:val="24"/>
      </w:rPr>
      <w:tab/>
    </w:r>
    <w:sdt>
      <w:sdtPr>
        <w:rPr>
          <w:rFonts w:ascii="Times New Roman" w:hAnsi="Times New Roman" w:cs="Times New Roman"/>
          <w:sz w:val="24"/>
          <w:szCs w:val="24"/>
        </w:rPr>
        <w:id w:val="2060282782"/>
        <w:docPartObj>
          <w:docPartGallery w:val="Page Numbers (Top of Page)"/>
          <w:docPartUnique/>
        </w:docPartObj>
      </w:sdtPr>
      <w:sdtEndPr>
        <w:rPr>
          <w:noProof/>
        </w:rPr>
      </w:sdtEndPr>
      <w:sdtContent>
        <w:r w:rsidR="00F16D02" w:rsidRPr="000A2EB2">
          <w:rPr>
            <w:rFonts w:ascii="Times New Roman" w:hAnsi="Times New Roman" w:cs="Times New Roman"/>
            <w:sz w:val="24"/>
            <w:szCs w:val="24"/>
          </w:rPr>
          <w:fldChar w:fldCharType="begin"/>
        </w:r>
        <w:r w:rsidR="00F16D02" w:rsidRPr="000A2EB2">
          <w:rPr>
            <w:rFonts w:ascii="Times New Roman" w:hAnsi="Times New Roman" w:cs="Times New Roman"/>
            <w:sz w:val="24"/>
            <w:szCs w:val="24"/>
          </w:rPr>
          <w:instrText xml:space="preserve"> PAGE   \* MERGEFORMAT </w:instrText>
        </w:r>
        <w:r w:rsidR="00F16D02" w:rsidRPr="000A2EB2">
          <w:rPr>
            <w:rFonts w:ascii="Times New Roman" w:hAnsi="Times New Roman" w:cs="Times New Roman"/>
            <w:sz w:val="24"/>
            <w:szCs w:val="24"/>
          </w:rPr>
          <w:fldChar w:fldCharType="separate"/>
        </w:r>
        <w:r w:rsidR="00BF4737">
          <w:rPr>
            <w:rFonts w:ascii="Times New Roman" w:hAnsi="Times New Roman" w:cs="Times New Roman"/>
            <w:noProof/>
            <w:sz w:val="24"/>
            <w:szCs w:val="24"/>
          </w:rPr>
          <w:t>2</w:t>
        </w:r>
        <w:r w:rsidR="00F16D02" w:rsidRPr="000A2EB2">
          <w:rPr>
            <w:rFonts w:ascii="Times New Roman" w:hAnsi="Times New Roman" w:cs="Times New Roman"/>
            <w:noProof/>
            <w:sz w:val="24"/>
            <w:szCs w:val="24"/>
          </w:rPr>
          <w:fldChar w:fldCharType="end"/>
        </w:r>
      </w:sdtContent>
    </w:sdt>
  </w:p>
  <w:p w:rsidR="00F16D02" w:rsidRPr="000A2EB2" w:rsidRDefault="00F16D02" w:rsidP="000A2E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D02" w:rsidRPr="00233DF2" w:rsidRDefault="00D7116B" w:rsidP="00D7116B">
    <w:pPr>
      <w:pStyle w:val="Header"/>
      <w:rPr>
        <w:rFonts w:ascii="Times New Roman" w:hAnsi="Times New Roman" w:cs="Times New Roman"/>
        <w:sz w:val="20"/>
        <w:szCs w:val="20"/>
      </w:rPr>
    </w:pPr>
    <w:r>
      <w:rPr>
        <w:rFonts w:ascii="Times New Roman" w:hAnsi="Times New Roman" w:cs="Times New Roman"/>
        <w:sz w:val="20"/>
        <w:szCs w:val="20"/>
      </w:rPr>
      <w:t xml:space="preserve">Running head: </w:t>
    </w:r>
    <w:r w:rsidR="00197C7E">
      <w:rPr>
        <w:rFonts w:ascii="Times New Roman" w:hAnsi="Times New Roman" w:cs="Times New Roman"/>
        <w:sz w:val="24"/>
        <w:szCs w:val="24"/>
      </w:rPr>
      <w:t>ARTICLE REVIEW</w:t>
    </w:r>
    <w:r>
      <w:rPr>
        <w:rFonts w:ascii="Times New Roman" w:hAnsi="Times New Roman" w:cs="Times New Roman"/>
        <w:sz w:val="24"/>
        <w:szCs w:val="24"/>
      </w:rPr>
      <w:tab/>
      <w:t xml:space="preserve">                                       </w:t>
    </w:r>
    <w:r w:rsidR="00F16D02" w:rsidRPr="00233DF2">
      <w:rPr>
        <w:rFonts w:ascii="Times New Roman" w:hAnsi="Times New Roman" w:cs="Times New Roman"/>
        <w:sz w:val="20"/>
        <w:szCs w:val="20"/>
      </w:rPr>
      <w:tab/>
    </w:r>
    <w:sdt>
      <w:sdtPr>
        <w:rPr>
          <w:rFonts w:ascii="Times New Roman" w:hAnsi="Times New Roman" w:cs="Times New Roman"/>
          <w:sz w:val="20"/>
          <w:szCs w:val="20"/>
        </w:rPr>
        <w:id w:val="-667398539"/>
        <w:docPartObj>
          <w:docPartGallery w:val="Page Numbers (Top of Page)"/>
          <w:docPartUnique/>
        </w:docPartObj>
      </w:sdtPr>
      <w:sdtEndPr>
        <w:rPr>
          <w:noProof/>
        </w:rPr>
      </w:sdtEndPr>
      <w:sdtContent>
        <w:r w:rsidR="00F16D02" w:rsidRPr="00233DF2">
          <w:rPr>
            <w:rFonts w:ascii="Times New Roman" w:hAnsi="Times New Roman" w:cs="Times New Roman"/>
            <w:sz w:val="20"/>
            <w:szCs w:val="20"/>
          </w:rPr>
          <w:fldChar w:fldCharType="begin"/>
        </w:r>
        <w:r w:rsidR="00F16D02" w:rsidRPr="00233DF2">
          <w:rPr>
            <w:rFonts w:ascii="Times New Roman" w:hAnsi="Times New Roman" w:cs="Times New Roman"/>
            <w:sz w:val="20"/>
            <w:szCs w:val="20"/>
          </w:rPr>
          <w:instrText xml:space="preserve"> PAGE   \* MERGEFORMAT </w:instrText>
        </w:r>
        <w:r w:rsidR="00F16D02" w:rsidRPr="00233DF2">
          <w:rPr>
            <w:rFonts w:ascii="Times New Roman" w:hAnsi="Times New Roman" w:cs="Times New Roman"/>
            <w:sz w:val="20"/>
            <w:szCs w:val="20"/>
          </w:rPr>
          <w:fldChar w:fldCharType="separate"/>
        </w:r>
        <w:r w:rsidR="00BF4737">
          <w:rPr>
            <w:rFonts w:ascii="Times New Roman" w:hAnsi="Times New Roman" w:cs="Times New Roman"/>
            <w:noProof/>
            <w:sz w:val="20"/>
            <w:szCs w:val="20"/>
          </w:rPr>
          <w:t>1</w:t>
        </w:r>
        <w:r w:rsidR="00F16D02" w:rsidRPr="00233DF2">
          <w:rPr>
            <w:rFonts w:ascii="Times New Roman" w:hAnsi="Times New Roman" w:cs="Times New Roman"/>
            <w:noProof/>
            <w:sz w:val="20"/>
            <w:szCs w:val="20"/>
          </w:rPr>
          <w:fldChar w:fldCharType="end"/>
        </w:r>
      </w:sdtContent>
    </w:sdt>
  </w:p>
  <w:p w:rsidR="00F16D02" w:rsidRPr="00233DF2" w:rsidRDefault="00F16D02">
    <w:pPr>
      <w:pStyle w:val="Head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B605C"/>
    <w:multiLevelType w:val="hybridMultilevel"/>
    <w:tmpl w:val="10D8B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EE5"/>
    <w:rsid w:val="00002006"/>
    <w:rsid w:val="000066CE"/>
    <w:rsid w:val="00017075"/>
    <w:rsid w:val="00021B7B"/>
    <w:rsid w:val="00022676"/>
    <w:rsid w:val="00024373"/>
    <w:rsid w:val="000333D9"/>
    <w:rsid w:val="00040B53"/>
    <w:rsid w:val="00042819"/>
    <w:rsid w:val="0004391D"/>
    <w:rsid w:val="000511A7"/>
    <w:rsid w:val="00054CB9"/>
    <w:rsid w:val="00056A50"/>
    <w:rsid w:val="000610B6"/>
    <w:rsid w:val="00066044"/>
    <w:rsid w:val="00067BB0"/>
    <w:rsid w:val="000739C6"/>
    <w:rsid w:val="00074037"/>
    <w:rsid w:val="00093EB3"/>
    <w:rsid w:val="00096C41"/>
    <w:rsid w:val="00097297"/>
    <w:rsid w:val="000A2EB2"/>
    <w:rsid w:val="000B089B"/>
    <w:rsid w:val="000B30F8"/>
    <w:rsid w:val="000C08CE"/>
    <w:rsid w:val="000C5393"/>
    <w:rsid w:val="000C5594"/>
    <w:rsid w:val="000C5B30"/>
    <w:rsid w:val="000D3D2C"/>
    <w:rsid w:val="000E28BE"/>
    <w:rsid w:val="000F1A14"/>
    <w:rsid w:val="000F1AC2"/>
    <w:rsid w:val="000F2570"/>
    <w:rsid w:val="001030EC"/>
    <w:rsid w:val="00111BD1"/>
    <w:rsid w:val="00112630"/>
    <w:rsid w:val="00113F17"/>
    <w:rsid w:val="00115BB1"/>
    <w:rsid w:val="00125DAB"/>
    <w:rsid w:val="00152639"/>
    <w:rsid w:val="001564BF"/>
    <w:rsid w:val="00157DF2"/>
    <w:rsid w:val="00170547"/>
    <w:rsid w:val="0017589D"/>
    <w:rsid w:val="00186E2A"/>
    <w:rsid w:val="0019751A"/>
    <w:rsid w:val="00197C7E"/>
    <w:rsid w:val="00197D53"/>
    <w:rsid w:val="001A13CB"/>
    <w:rsid w:val="001A68C3"/>
    <w:rsid w:val="001B43CA"/>
    <w:rsid w:val="001B7844"/>
    <w:rsid w:val="001C0FA8"/>
    <w:rsid w:val="001C51E1"/>
    <w:rsid w:val="001C7986"/>
    <w:rsid w:val="001D23FA"/>
    <w:rsid w:val="001E7408"/>
    <w:rsid w:val="001F76E9"/>
    <w:rsid w:val="00205C62"/>
    <w:rsid w:val="00207894"/>
    <w:rsid w:val="002151ED"/>
    <w:rsid w:val="0022199C"/>
    <w:rsid w:val="002258D4"/>
    <w:rsid w:val="002312D0"/>
    <w:rsid w:val="00233DF2"/>
    <w:rsid w:val="002427CF"/>
    <w:rsid w:val="00255E12"/>
    <w:rsid w:val="0026203E"/>
    <w:rsid w:val="002742EB"/>
    <w:rsid w:val="00276CC7"/>
    <w:rsid w:val="002818CC"/>
    <w:rsid w:val="00291E6B"/>
    <w:rsid w:val="002A0E1F"/>
    <w:rsid w:val="002A2985"/>
    <w:rsid w:val="002A77FA"/>
    <w:rsid w:val="002C156D"/>
    <w:rsid w:val="002E069B"/>
    <w:rsid w:val="002E19AB"/>
    <w:rsid w:val="002E1FF5"/>
    <w:rsid w:val="002E380D"/>
    <w:rsid w:val="002F141B"/>
    <w:rsid w:val="002F7C4A"/>
    <w:rsid w:val="0030206D"/>
    <w:rsid w:val="00304DC4"/>
    <w:rsid w:val="003349E6"/>
    <w:rsid w:val="00334D8B"/>
    <w:rsid w:val="00342EF8"/>
    <w:rsid w:val="00346E3B"/>
    <w:rsid w:val="00362205"/>
    <w:rsid w:val="00371533"/>
    <w:rsid w:val="003845B9"/>
    <w:rsid w:val="00385019"/>
    <w:rsid w:val="003921C5"/>
    <w:rsid w:val="0039396E"/>
    <w:rsid w:val="003C7D23"/>
    <w:rsid w:val="003D0AF0"/>
    <w:rsid w:val="003D5E6B"/>
    <w:rsid w:val="003D62A2"/>
    <w:rsid w:val="003F25A5"/>
    <w:rsid w:val="003F57CE"/>
    <w:rsid w:val="00400B61"/>
    <w:rsid w:val="004019F0"/>
    <w:rsid w:val="004108A2"/>
    <w:rsid w:val="00436248"/>
    <w:rsid w:val="00437557"/>
    <w:rsid w:val="00440520"/>
    <w:rsid w:val="00441CE7"/>
    <w:rsid w:val="0044756D"/>
    <w:rsid w:val="004552C5"/>
    <w:rsid w:val="00466AFF"/>
    <w:rsid w:val="0046760A"/>
    <w:rsid w:val="0048051B"/>
    <w:rsid w:val="00480DD9"/>
    <w:rsid w:val="004810E0"/>
    <w:rsid w:val="004824A4"/>
    <w:rsid w:val="00482ADF"/>
    <w:rsid w:val="00491C3C"/>
    <w:rsid w:val="00491D7F"/>
    <w:rsid w:val="0049749D"/>
    <w:rsid w:val="004A05DA"/>
    <w:rsid w:val="004A0B14"/>
    <w:rsid w:val="004A1E62"/>
    <w:rsid w:val="004A44F2"/>
    <w:rsid w:val="004B1638"/>
    <w:rsid w:val="004B3977"/>
    <w:rsid w:val="004C7810"/>
    <w:rsid w:val="004D007C"/>
    <w:rsid w:val="004D7A4B"/>
    <w:rsid w:val="004E7335"/>
    <w:rsid w:val="004F0F61"/>
    <w:rsid w:val="004F7B04"/>
    <w:rsid w:val="004F7BB1"/>
    <w:rsid w:val="0050510C"/>
    <w:rsid w:val="005063B6"/>
    <w:rsid w:val="005157E6"/>
    <w:rsid w:val="0052566B"/>
    <w:rsid w:val="00532751"/>
    <w:rsid w:val="00534DBD"/>
    <w:rsid w:val="00535EB8"/>
    <w:rsid w:val="005512D2"/>
    <w:rsid w:val="00566CFE"/>
    <w:rsid w:val="00572EC0"/>
    <w:rsid w:val="005823ED"/>
    <w:rsid w:val="00594749"/>
    <w:rsid w:val="00597824"/>
    <w:rsid w:val="005A10FA"/>
    <w:rsid w:val="005B4498"/>
    <w:rsid w:val="005D1AE9"/>
    <w:rsid w:val="005D379D"/>
    <w:rsid w:val="005E1058"/>
    <w:rsid w:val="0060111A"/>
    <w:rsid w:val="00606072"/>
    <w:rsid w:val="0060790E"/>
    <w:rsid w:val="00626F73"/>
    <w:rsid w:val="00637BFC"/>
    <w:rsid w:val="00650362"/>
    <w:rsid w:val="00652484"/>
    <w:rsid w:val="00655C92"/>
    <w:rsid w:val="006733D9"/>
    <w:rsid w:val="0068165E"/>
    <w:rsid w:val="0069050E"/>
    <w:rsid w:val="006B06D6"/>
    <w:rsid w:val="006C20B6"/>
    <w:rsid w:val="006D6437"/>
    <w:rsid w:val="006E57D7"/>
    <w:rsid w:val="006E6345"/>
    <w:rsid w:val="006F0355"/>
    <w:rsid w:val="006F567F"/>
    <w:rsid w:val="00701F79"/>
    <w:rsid w:val="00720478"/>
    <w:rsid w:val="00745292"/>
    <w:rsid w:val="00765053"/>
    <w:rsid w:val="0077564C"/>
    <w:rsid w:val="00784B59"/>
    <w:rsid w:val="00785707"/>
    <w:rsid w:val="00793F39"/>
    <w:rsid w:val="007943EE"/>
    <w:rsid w:val="007A2600"/>
    <w:rsid w:val="007A6C43"/>
    <w:rsid w:val="007A6EE5"/>
    <w:rsid w:val="007B4622"/>
    <w:rsid w:val="007C16DD"/>
    <w:rsid w:val="007C44D8"/>
    <w:rsid w:val="007C4C05"/>
    <w:rsid w:val="007C7891"/>
    <w:rsid w:val="007D6E87"/>
    <w:rsid w:val="007D7173"/>
    <w:rsid w:val="007E61C6"/>
    <w:rsid w:val="007F5817"/>
    <w:rsid w:val="008034D2"/>
    <w:rsid w:val="008073AE"/>
    <w:rsid w:val="00812DEC"/>
    <w:rsid w:val="00823C63"/>
    <w:rsid w:val="00824564"/>
    <w:rsid w:val="0084244A"/>
    <w:rsid w:val="008435BD"/>
    <w:rsid w:val="008454A6"/>
    <w:rsid w:val="0085193C"/>
    <w:rsid w:val="008542E8"/>
    <w:rsid w:val="008748EE"/>
    <w:rsid w:val="00877200"/>
    <w:rsid w:val="00891274"/>
    <w:rsid w:val="008A25EA"/>
    <w:rsid w:val="008A28CC"/>
    <w:rsid w:val="008A2EB6"/>
    <w:rsid w:val="008A6DFE"/>
    <w:rsid w:val="008B5DE0"/>
    <w:rsid w:val="008C1E6C"/>
    <w:rsid w:val="008C42B6"/>
    <w:rsid w:val="008C45B5"/>
    <w:rsid w:val="008C7918"/>
    <w:rsid w:val="008C7D25"/>
    <w:rsid w:val="008D6E71"/>
    <w:rsid w:val="00903600"/>
    <w:rsid w:val="0090387F"/>
    <w:rsid w:val="00916A4D"/>
    <w:rsid w:val="009456A5"/>
    <w:rsid w:val="00966772"/>
    <w:rsid w:val="0097203E"/>
    <w:rsid w:val="009803AB"/>
    <w:rsid w:val="00980AC2"/>
    <w:rsid w:val="00996BFA"/>
    <w:rsid w:val="009A4CBB"/>
    <w:rsid w:val="009B2B00"/>
    <w:rsid w:val="009C2FF9"/>
    <w:rsid w:val="009E5484"/>
    <w:rsid w:val="009E6981"/>
    <w:rsid w:val="009F29D4"/>
    <w:rsid w:val="009F6F44"/>
    <w:rsid w:val="00A11582"/>
    <w:rsid w:val="00A13D8C"/>
    <w:rsid w:val="00A22152"/>
    <w:rsid w:val="00A25084"/>
    <w:rsid w:val="00A27F44"/>
    <w:rsid w:val="00A34BC9"/>
    <w:rsid w:val="00A376CC"/>
    <w:rsid w:val="00A509DF"/>
    <w:rsid w:val="00A577B7"/>
    <w:rsid w:val="00A66609"/>
    <w:rsid w:val="00A86225"/>
    <w:rsid w:val="00A87737"/>
    <w:rsid w:val="00A90421"/>
    <w:rsid w:val="00AC1B2A"/>
    <w:rsid w:val="00AD52FA"/>
    <w:rsid w:val="00AD5CF8"/>
    <w:rsid w:val="00AE5AFB"/>
    <w:rsid w:val="00AE719D"/>
    <w:rsid w:val="00B01586"/>
    <w:rsid w:val="00B13DC2"/>
    <w:rsid w:val="00B33C18"/>
    <w:rsid w:val="00B52714"/>
    <w:rsid w:val="00B53D2E"/>
    <w:rsid w:val="00B55275"/>
    <w:rsid w:val="00B70C3E"/>
    <w:rsid w:val="00B8234F"/>
    <w:rsid w:val="00B84DF7"/>
    <w:rsid w:val="00B85637"/>
    <w:rsid w:val="00BA52CD"/>
    <w:rsid w:val="00BB00F9"/>
    <w:rsid w:val="00BB43D0"/>
    <w:rsid w:val="00BB4B4B"/>
    <w:rsid w:val="00BB6A18"/>
    <w:rsid w:val="00BC218E"/>
    <w:rsid w:val="00BC23A6"/>
    <w:rsid w:val="00BC2E4F"/>
    <w:rsid w:val="00BC7AEF"/>
    <w:rsid w:val="00BD7BB5"/>
    <w:rsid w:val="00BE20C7"/>
    <w:rsid w:val="00BE5C62"/>
    <w:rsid w:val="00BF281C"/>
    <w:rsid w:val="00BF4737"/>
    <w:rsid w:val="00C0209A"/>
    <w:rsid w:val="00C04212"/>
    <w:rsid w:val="00C12AFE"/>
    <w:rsid w:val="00C14831"/>
    <w:rsid w:val="00C14860"/>
    <w:rsid w:val="00C17948"/>
    <w:rsid w:val="00C239AA"/>
    <w:rsid w:val="00C27877"/>
    <w:rsid w:val="00C354CC"/>
    <w:rsid w:val="00C37910"/>
    <w:rsid w:val="00C61303"/>
    <w:rsid w:val="00C631B9"/>
    <w:rsid w:val="00C65AD1"/>
    <w:rsid w:val="00C76D4B"/>
    <w:rsid w:val="00C82094"/>
    <w:rsid w:val="00C83B7B"/>
    <w:rsid w:val="00C85C77"/>
    <w:rsid w:val="00C90563"/>
    <w:rsid w:val="00C9248C"/>
    <w:rsid w:val="00C977F2"/>
    <w:rsid w:val="00CA5F61"/>
    <w:rsid w:val="00CB09C3"/>
    <w:rsid w:val="00CB114B"/>
    <w:rsid w:val="00CB212F"/>
    <w:rsid w:val="00CD18BE"/>
    <w:rsid w:val="00CE1306"/>
    <w:rsid w:val="00CE25D9"/>
    <w:rsid w:val="00CE3BE2"/>
    <w:rsid w:val="00D332A8"/>
    <w:rsid w:val="00D370E3"/>
    <w:rsid w:val="00D42C33"/>
    <w:rsid w:val="00D432C4"/>
    <w:rsid w:val="00D468A0"/>
    <w:rsid w:val="00D50561"/>
    <w:rsid w:val="00D50B3C"/>
    <w:rsid w:val="00D5453A"/>
    <w:rsid w:val="00D557C1"/>
    <w:rsid w:val="00D562A7"/>
    <w:rsid w:val="00D618FE"/>
    <w:rsid w:val="00D624FF"/>
    <w:rsid w:val="00D63519"/>
    <w:rsid w:val="00D650E5"/>
    <w:rsid w:val="00D668E5"/>
    <w:rsid w:val="00D6781E"/>
    <w:rsid w:val="00D7116B"/>
    <w:rsid w:val="00D7343A"/>
    <w:rsid w:val="00D813DC"/>
    <w:rsid w:val="00D85B8D"/>
    <w:rsid w:val="00D86C5C"/>
    <w:rsid w:val="00D95641"/>
    <w:rsid w:val="00DA06BB"/>
    <w:rsid w:val="00DA23BD"/>
    <w:rsid w:val="00DA2D74"/>
    <w:rsid w:val="00DB1A4C"/>
    <w:rsid w:val="00DB4E50"/>
    <w:rsid w:val="00DB52AF"/>
    <w:rsid w:val="00DC3ADA"/>
    <w:rsid w:val="00DC616D"/>
    <w:rsid w:val="00DD206C"/>
    <w:rsid w:val="00DD608D"/>
    <w:rsid w:val="00DD72A7"/>
    <w:rsid w:val="00DD7911"/>
    <w:rsid w:val="00DE745E"/>
    <w:rsid w:val="00DF068A"/>
    <w:rsid w:val="00E008CB"/>
    <w:rsid w:val="00E02199"/>
    <w:rsid w:val="00E116E7"/>
    <w:rsid w:val="00E15A37"/>
    <w:rsid w:val="00E20916"/>
    <w:rsid w:val="00E265B4"/>
    <w:rsid w:val="00E316C8"/>
    <w:rsid w:val="00E34768"/>
    <w:rsid w:val="00E4253A"/>
    <w:rsid w:val="00E55717"/>
    <w:rsid w:val="00E60CE2"/>
    <w:rsid w:val="00E820DA"/>
    <w:rsid w:val="00E828E5"/>
    <w:rsid w:val="00E952A5"/>
    <w:rsid w:val="00EA7FB6"/>
    <w:rsid w:val="00EB0112"/>
    <w:rsid w:val="00EB4C7A"/>
    <w:rsid w:val="00EC0355"/>
    <w:rsid w:val="00ED00AF"/>
    <w:rsid w:val="00ED77FE"/>
    <w:rsid w:val="00EE2521"/>
    <w:rsid w:val="00EE552F"/>
    <w:rsid w:val="00EF096D"/>
    <w:rsid w:val="00F05AD2"/>
    <w:rsid w:val="00F149BC"/>
    <w:rsid w:val="00F14C1D"/>
    <w:rsid w:val="00F16BE6"/>
    <w:rsid w:val="00F16D02"/>
    <w:rsid w:val="00F248FA"/>
    <w:rsid w:val="00F5655F"/>
    <w:rsid w:val="00F77CF3"/>
    <w:rsid w:val="00F82106"/>
    <w:rsid w:val="00F83611"/>
    <w:rsid w:val="00F849C4"/>
    <w:rsid w:val="00F854C8"/>
    <w:rsid w:val="00F86B5B"/>
    <w:rsid w:val="00F90818"/>
    <w:rsid w:val="00FA7DA9"/>
    <w:rsid w:val="00FB6A5F"/>
    <w:rsid w:val="00FC4F1F"/>
    <w:rsid w:val="00FC64A0"/>
    <w:rsid w:val="00FD0F4E"/>
    <w:rsid w:val="00FD1C81"/>
    <w:rsid w:val="00FE03FB"/>
    <w:rsid w:val="00FE4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semiHidden/>
    <w:unhideWhenUsed/>
    <w:rsid w:val="004D7A4B"/>
    <w:rPr>
      <w:color w:val="0000FF"/>
      <w:u w:val="single"/>
    </w:rPr>
  </w:style>
  <w:style w:type="paragraph" w:styleId="ListParagraph">
    <w:name w:val="List Paragraph"/>
    <w:basedOn w:val="Normal"/>
    <w:uiPriority w:val="34"/>
    <w:qFormat/>
    <w:rsid w:val="00E820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semiHidden/>
    <w:unhideWhenUsed/>
    <w:rsid w:val="004D7A4B"/>
    <w:rPr>
      <w:color w:val="0000FF"/>
      <w:u w:val="single"/>
    </w:rPr>
  </w:style>
  <w:style w:type="paragraph" w:styleId="ListParagraph">
    <w:name w:val="List Paragraph"/>
    <w:basedOn w:val="Normal"/>
    <w:uiPriority w:val="34"/>
    <w:qFormat/>
    <w:rsid w:val="00E82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2019-11-02T02:50:00Z</dcterms:created>
  <dcterms:modified xsi:type="dcterms:W3CDTF">2019-11-02T02:50:00Z</dcterms:modified>
</cp:coreProperties>
</file>