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720"/>
        <w:spacing w:after="100" w:afterAutospacing="1" w:before="100" w:beforeAutospacing="1" w:line="480" w:lineRule="auto"/>
        <w:rPr>
          <w:rFonts w:ascii="Times New Roman" w:hAnsi="Times New Roman" w:cs="Times New Roman"/>
          <w:sz w:val="24"/>
          <w:szCs w:val="24"/>
        </w:rPr>
      </w:pPr>
    </w:p>
    <w:p>
      <w:pPr>
        <w:ind w:firstLine="720"/>
        <w:spacing w:after="100" w:afterAutospacing="1" w:before="100" w:beforeAutospacing="1" w:line="480" w:lineRule="auto"/>
        <w:rPr>
          <w:rFonts w:ascii="Times New Roman" w:hAnsi="Times New Roman" w:cs="Times New Roman"/>
          <w:sz w:val="24"/>
          <w:szCs w:val="24"/>
        </w:rPr>
      </w:pPr>
    </w:p>
    <w:p>
      <w:pPr>
        <w:ind w:firstLine="720"/>
        <w:spacing w:after="100" w:afterAutospacing="1" w:before="100" w:beforeAutospacing="1" w:line="480" w:lineRule="auto"/>
        <w:rPr>
          <w:rFonts w:ascii="Times New Roman" w:hAnsi="Times New Roman" w:cs="Times New Roman"/>
          <w:sz w:val="24"/>
          <w:szCs w:val="24"/>
        </w:rPr>
      </w:pPr>
    </w:p>
    <w:p>
      <w:pPr>
        <w:ind w:firstLine="720"/>
        <w:spacing w:after="100" w:afterAutospacing="1" w:before="100" w:beforeAutospacing="1" w:line="480" w:lineRule="auto"/>
        <w:rPr>
          <w:rFonts w:ascii="Times New Roman" w:hAnsi="Times New Roman" w:cs="Times New Roman"/>
          <w:sz w:val="24"/>
          <w:szCs w:val="24"/>
        </w:rPr>
      </w:pPr>
    </w:p>
    <w:p>
      <w:pPr>
        <w:ind w:firstLine="720"/>
        <w:spacing w:after="100" w:afterAutospacing="1" w:before="100" w:beforeAutospacing="1" w:line="480" w:lineRule="auto"/>
        <w:rPr>
          <w:rFonts w:ascii="Times New Roman" w:hAnsi="Times New Roman" w:cs="Times New Roman"/>
          <w:sz w:val="24"/>
          <w:szCs w:val="24"/>
        </w:rPr>
      </w:pPr>
    </w:p>
    <w:p>
      <w:pPr>
        <w:ind w:firstLine="720"/>
        <w:jc w:val="center"/>
        <w:spacing w:after="100" w:afterAutospacing="1" w:before="100" w:beforeAutospacing="1" w:line="480" w:lineRule="auto"/>
        <w:rPr>
          <w:rFonts w:ascii="Times New Roman" w:hAnsi="Times New Roman" w:cs="Times New Roman"/>
          <w:sz w:val="24"/>
          <w:szCs w:val="24"/>
        </w:rPr>
      </w:pPr>
    </w:p>
    <w:p>
      <w:pPr>
        <w:ind w:firstLine="720"/>
        <w:jc w:val="center"/>
        <w:spacing w:after="100" w:afterAutospacing="1" w:before="100" w:beforeAutospacing="1" w:line="480" w:lineRule="auto"/>
        <w:rPr>
          <w:rFonts w:ascii="Times New Roman" w:hAnsi="Times New Roman" w:cs="Times New Roman"/>
          <w:sz w:val="24"/>
          <w:szCs w:val="24"/>
        </w:rPr>
      </w:pPr>
    </w:p>
    <w:p>
      <w:pPr>
        <w:ind w:firstLine="720"/>
        <w:jc w:val="cente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IMPACTS OF TRADE AGREEMENTS</w:t>
      </w:r>
    </w:p>
    <w:p>
      <w:pPr>
        <w:ind w:firstLine="720"/>
        <w:jc w:val="cente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Roderick Taylor</w:t>
      </w:r>
    </w:p>
    <w:p>
      <w:pPr>
        <w:ind w:firstLine="720"/>
        <w:jc w:val="cente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Excelsior College</w:t>
      </w:r>
    </w:p>
    <w:p>
      <w:pPr>
        <w:ind w:firstLine="720"/>
        <w:jc w:val="cente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12 July 2018</w:t>
      </w:r>
    </w:p>
    <w:p>
      <w:pPr>
        <w:ind w:firstLine="720"/>
        <w:jc w:val="center"/>
        <w:spacing w:after="100" w:afterAutospacing="1" w:before="100" w:beforeAutospacing="1" w:line="480" w:lineRule="auto"/>
        <w:rPr>
          <w:rFonts w:ascii="Times New Roman" w:hAnsi="Times New Roman" w:cs="Times New Roman"/>
          <w:sz w:val="24"/>
          <w:szCs w:val="24"/>
        </w:rPr>
      </w:pPr>
    </w:p>
    <w:p>
      <w:pPr>
        <w:ind w:firstLine="720"/>
        <w:jc w:val="center"/>
        <w:spacing w:after="100" w:afterAutospacing="1" w:before="100" w:beforeAutospacing="1" w:line="480" w:lineRule="auto"/>
        <w:rPr>
          <w:rFonts w:ascii="Times New Roman" w:hAnsi="Times New Roman" w:cs="Times New Roman"/>
          <w:sz w:val="24"/>
          <w:szCs w:val="24"/>
        </w:rPr>
      </w:pPr>
    </w:p>
    <w:p>
      <w:pPr>
        <w:ind w:firstLine="720"/>
        <w:jc w:val="center"/>
        <w:spacing w:after="100" w:afterAutospacing="1" w:before="100" w:beforeAutospacing="1" w:line="480" w:lineRule="auto"/>
        <w:rPr>
          <w:rFonts w:ascii="Times New Roman" w:hAnsi="Times New Roman" w:cs="Times New Roman"/>
          <w:sz w:val="24"/>
          <w:szCs w:val="24"/>
        </w:rPr>
      </w:pPr>
    </w:p>
    <w:p>
      <w:pPr>
        <w:ind w:firstLine="720"/>
        <w:jc w:val="center"/>
        <w:spacing w:after="100" w:afterAutospacing="1" w:before="100" w:beforeAutospacing="1" w:line="480" w:lineRule="auto"/>
        <w:rPr>
          <w:rFonts w:ascii="Times New Roman" w:hAnsi="Times New Roman" w:cs="Times New Roman"/>
          <w:sz w:val="24"/>
          <w:szCs w:val="24"/>
        </w:rPr>
      </w:pPr>
    </w:p>
    <w:p>
      <w:pPr>
        <w:ind w:firstLine="72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International trade is an exemplary way of expanding your business. It allows you to diversify your risks, receive payments early, and grow your margins (ITA, 2017). Being the leading seller and distributor of sustainable goods, Sustainable Goods organization has seen the need to venture into the global industry as a strategy of keeping up with the growing competition. To implement the strategy, we have chosen to begin on a pilot project in two countries, a developed (Japan) and a developing other (Kenya). This paper is a report that justifies the strategy our company is deemed to undertake. </w:t>
      </w:r>
    </w:p>
    <w:p>
      <w:pPr>
        <w:ind w:firstLine="72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Trade agreements are very important when it comes to international trade. These are policies enacted by the governments of the countries that intend to trade. They create an environment of ease since a certain protocol is followed and the economy is found to develop. </w:t>
      </w:r>
    </w:p>
    <w:p>
      <w:p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Kenya’s trade agreements:</w:t>
      </w:r>
    </w:p>
    <w:p>
      <w:p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Kenya is a developing country having an economy which is agriculture-based. This tells one that the country depends much on trade for manufactured commodities or rather the raw materials to manufacture such. Trade agreements in Kenya that will favor our business are (TRALAC, 2018);</w:t>
      </w:r>
    </w:p>
    <w:p>
      <w:pPr>
        <w:pStyle w:val="ListParagraph"/>
        <w:ind w:left="0"/>
        <w:numPr>
          <w:ilvl w:val="0"/>
          <w:numId w:val="1"/>
        </w:num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The African Growth and Opportunity Act (AGOA) – being a member, Kenya and the U.S. stroke an agreement that qualified the country to export textiles, handicrafts and apparels to U.S. In return, the U.S. is expected export to country as well and this forms the basis of trade – exchange. Comparative and absolute advantage give room for economies to trade on the basis of factor endowment. This agreement will, of course, benefit both economies but being concerned on Sustainable Goods Organization, there will be a ready market for our products having established that Kenya imports about $600 million from the U.S. </w:t>
      </w:r>
    </w:p>
    <w:p>
      <w:pPr>
        <w:pStyle w:val="ListParagraph"/>
        <w:ind w:left="0"/>
        <w:numPr>
          <w:ilvl w:val="0"/>
          <w:numId w:val="1"/>
        </w:num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Special commodities trade agreement – Kenya has a 2030 strategy that aims at achieving a sustainable economy and this cannot come forth without the use of sustainable commodities. This is a justification that our goods will sell to this economy increasing our sales margin. </w:t>
      </w:r>
    </w:p>
    <w:p>
      <w:pPr>
        <w:pStyle w:val="ListParagraph"/>
        <w:ind w:left="0"/>
        <w:numPr>
          <w:ilvl w:val="0"/>
          <w:numId w:val="1"/>
        </w:num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Tariff and quota rates – the rates for quotas and tariffs are trade friendly considering that the economy largely depends on trade (Export.gov 2017). </w:t>
      </w:r>
    </w:p>
    <w:p>
      <w:p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Japan is a developed economy with a balanced economy. Trade agreements that would help our company are (OFFICE of the UNITED STATES TRADE REPRESENTATIVE, 2017): </w:t>
      </w:r>
    </w:p>
    <w:p>
      <w:pPr>
        <w:pStyle w:val="ListParagraph"/>
        <w:ind w:left="0"/>
        <w:numPr>
          <w:ilvl w:val="0"/>
          <w:numId w:val="2"/>
        </w:num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Bilateral Free Trade Agreement negotiations; it is believed that by the end of 2018 Japan would open up its agricultural markets that have long been protected. The U.S. is reviewing the need to exempt tariffs on aluminum and steel which are imported from Japan. In doing so, Japan will also open their agricultural markets allowing for trade which will help SG company. Exporting to a duty free economy is a good strategy as the company will grow financially and expand into new markets. </w:t>
      </w:r>
    </w:p>
    <w:p>
      <w:pPr>
        <w:pStyle w:val="ListParagraph"/>
        <w:ind w:left="0"/>
        <w:numPr>
          <w:ilvl w:val="0"/>
          <w:numId w:val="2"/>
        </w:num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US-Japan Non-Tariff measures; the two countries agreed on non-tariff measures in a number of industries including automobiles, financial services, distribution to indicate a few. This is an agreement that has much favored trade between the two countries. The advantages of trade policy agreements are enjoyed by the businesses on the ground. For instance, Sustainable Goods is expected to reap from this agreement since its access will not be constrained in the country. </w:t>
      </w:r>
    </w:p>
    <w:p>
      <w:pPr>
        <w:pStyle w:val="ListParagraph"/>
        <w:ind w:left="0"/>
        <w:numPr>
          <w:ilvl w:val="0"/>
          <w:numId w:val="2"/>
        </w:num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Tariff rates – Japan follows the WTO tariff rates unless a commodity has much lower rate. These rates are friendly for a company such as Sustainable Goods which becomes a motivation to trade in the country. </w:t>
      </w:r>
    </w:p>
    <w:p>
      <w:pPr>
        <w:ind w:firstLine="36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Agreements institute the trading environment. This ensures safety and minimizes risks of trade. The above mentioned risks between the two countries are business supportive. It is a good strategy for the company to begin on a pilot study since some agreements that we hope for might not come into being. </w:t>
      </w: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p>
    <w:p>
      <w:pPr>
        <w:jc w:val="cente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References</w:t>
      </w:r>
    </w:p>
    <w:p>
      <w:pPr>
        <w:ind w:left="720" w:hanging="72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Export.gov retrieved from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"https://www.export.gov/article?id=Kenya-trade-agreements" </w:instrText>
      </w:r>
      <w:r>
        <w:rPr>
          <w:rFonts w:ascii="Times New Roman" w:hAnsi="Times New Roman" w:cs="Times New Roman"/>
          <w:sz w:val="24"/>
          <w:szCs w:val="24"/>
        </w:rPr>
        <w:fldChar w:fldCharType="separate"/>
      </w:r>
      <w:r>
        <w:rPr>
          <w:rStyle w:val="Hyperlink"/>
          <w:rFonts w:ascii="Times New Roman" w:hAnsi="Times New Roman" w:cs="Times New Roman"/>
          <w:color w:val="auto"/>
          <w:sz w:val="24"/>
          <w:szCs w:val="24"/>
          <w:u w:val="none" w:color="auto"/>
        </w:rPr>
        <w:t>https://www.export.gov/article?id=Kenya-trade-agreements</w:t>
      </w:r>
      <w:r>
        <w:rPr>
          <w:rStyle w:val="Hyperlink"/>
          <w:rFonts w:ascii="Times New Roman" w:hAnsi="Times New Roman" w:cs="Times New Roman"/>
          <w:color w:val="auto"/>
          <w:sz w:val="24"/>
          <w:szCs w:val="24"/>
          <w:u w:val="none" w:color="auto"/>
        </w:rPr>
        <w:fldChar w:fldCharType="end"/>
      </w:r>
    </w:p>
    <w:p>
      <w:pPr>
        <w:ind w:left="720" w:hanging="72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OFFICE of the UNITED STATES TRADE REPRESENTATIVE, (2017) &gt;https://ustr.gov/trade-agreements/free-trade-agreements/trans-pacific-partnership/tpp-chapter-chapter-negotiating-16 (2017)</w:t>
      </w:r>
    </w:p>
    <w:p>
      <w:pPr>
        <w:ind w:left="720" w:hanging="72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The International Trade Administration, ITA (2017). </w:t>
      </w:r>
    </w:p>
    <w:p>
      <w:pPr>
        <w:ind w:left="720" w:hanging="720"/>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TRALAC TRADE LAW CENTRE NPC, (2018) “Kenya National Trade Policy: Transforming Kenya into a competitive export-led and efficient domestic economy</w:t>
      </w:r>
    </w:p>
    <w:p>
      <w:pPr>
        <w:spacing w:after="100" w:afterAutospacing="1" w:before="100" w:beforeAutospacing="1" w:line="480" w:lineRule="auto"/>
        <w:rPr>
          <w:rFonts w:ascii="Times New Roman" w:hAnsi="Times New Roman" w:cs="Times New Roman"/>
          <w:sz w:val="24"/>
          <w:szCs w:val="24"/>
        </w:rPr>
      </w:pPr>
    </w:p>
    <w:p>
      <w:p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br/>
      </w:r>
    </w:p>
    <w:p>
      <w:pPr>
        <w:spacing w:after="100" w:afterAutospacing="1" w:before="100" w:before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pgSz w:w="12240" w:h="15840"/>
      <w:pgMar w:top="1440" w:right="1440" w:bottom="1440" w:left="1440" w:header="720" w:footer="720" w:gutter="0"/>
      <w:cols w:space="720"/>
      <w:docGrid w:linePitch="360"/>
      <w:headerReference w:type="default" r:id="rId1"/>
      <w:headerReference w:type="first" r:id="rId2"/>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false"/>
    <w:sig w:usb0="00007A87" w:usb1="80000000" w:usb2="00000008" w:usb3="00000001"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Header"/>
      <w:rPr>
        <w:rFonts w:ascii="Times New Roman" w:hAnsi="Times New Roman" w:cs="Times New Roman"/>
        <w:sz w:val="24"/>
        <w:szCs w:val="24"/>
      </w:rPr>
    </w:pPr>
    <w:r>
      <w:rPr>
        <w:rFonts w:ascii="Times New Roman" w:hAnsi="Times New Roman" w:cs="Times New Roman"/>
        <w:sz w:val="24"/>
        <w:szCs w:val="24"/>
      </w:rPr>
      <w:t xml:space="preserve">IMPACTS OF TRADE AGREEMENTS </w:t>
    </w:r>
    <w:r>
      <w:rPr>
        <w:rFonts w:ascii="Times New Roman" w:hAnsi="Times New Roman" w:cs="Times New Roman"/>
        <w:sz w:val="24"/>
        <w:szCs w:val="24"/>
      </w:rPr>
      <w:tab/>
    </w:r>
    <w:r>
      <w:rPr>
        <w:rFonts w:ascii="Times New Roman" w:hAnsi="Times New Roman" w:cs="Times New Roman"/>
        <w:sz w:val="24"/>
        <w:szCs w:val="24"/>
      </w:rPr>
      <w:tab/>
    </w:r>
    <w:sdt>
      <w:sdtPr>
        <w:id w:val="-1"/>
        <w:docPartObj>
          <w:docPartGallery w:val="Page Numbers (Top of Page)"/>
          <w:docPartUnique/>
        </w:docPartObj>
      </w:sdtPr>
      <w:sdtEndPr>
        <w:rPr>
          <w:rFonts w:ascii="Times New Roman" w:hAnsi="Times New Roman" w:cs="Times New Roman"/>
          <w:noProof/>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noProof/>
            <w:sz w:val="24"/>
            <w:szCs w:val="24"/>
          </w:rPr>
          <w:fldChar w:fldCharType="end"/>
        </w:r>
      </w:sdtContent>
    </w:sdt>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Header"/>
    </w:pPr>
    <w:r>
      <w:rPr>
        <w:rFonts w:ascii="Times New Roman" w:hAnsi="Times New Roman" w:cs="Times New Roman"/>
        <w:sz w:val="24"/>
        <w:szCs w:val="24"/>
      </w:rPr>
      <w:t xml:space="preserve">Running Head: IMPACTS OF TRADE AGREEMENTS </w:t>
    </w:r>
    <w:r>
      <w:rPr>
        <w:rFonts w:ascii="Times New Roman" w:hAnsi="Times New Roman" w:cs="Times New Roman"/>
        <w:sz w:val="24"/>
        <w:szCs w:val="24"/>
      </w:rPr>
      <w:tab/>
    </w:r>
    <w:sdt>
      <w:sdtPr>
        <w:id w:val="-1"/>
        <w:docPartObj>
          <w:docPartGallery w:val="Page Numbers (Top of Page)"/>
          <w:docPartUnique/>
        </w:docPartObj>
      </w:sdtPr>
      <w:sdtEndPr>
        <w:rPr>
          <w:rFonts w:ascii="Times New Roman" w:hAnsi="Times New Roman" w:cs="Times New Roman"/>
          <w:noProof/>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86002b9"/>
    <w:multiLevelType w:val="hybridMultilevel"/>
    <w:tmpl w:val="30d0f69c"/>
    <w:lvl w:ilvl="0" w:tplc="4090017">
      <w:start w:val="1"/>
      <w:numFmt w:val="lowerLetter"/>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750429f"/>
    <w:multiLevelType w:val="hybridMultilevel"/>
    <w:tmpl w:val="ffa6e7e"/>
    <w:lvl w:ilvl="0" w:tplc="4090017">
      <w:start w:val="1"/>
      <w:numFmt w:val="lowerLetter"/>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83"/>
  <w:removePersonalInformation/>
  <w:bordersDontSurroundHeader/>
  <w:bordersDontSurroundFooter/>
  <w:hideGrammaticalErrors/>
  <w:proofState w:spelling="clean" w:grammar="clean"/>
  <w:defaultTabStop w:val="72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160" w:line="259" w:lineRule="auto"/>
      </w:pPr>
    </w:pPrDefault>
  </w:docDefault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erChar">
    <w:name w:val="Header Char"/>
    <w:basedOn w:val="defaultParagraphFont"/>
    <w:link w:val="header"/>
  </w:style>
  <w:style w:type="character" w:styleId="Hyperlink">
    <w:name w:val="Hyperlink"/>
    <w:basedOn w:val="defaultParagraphFont"/>
    <w:unhideWhenUsed/>
    <w:rPr>
      <w:color w:val="000000"/>
      <w:u w:val="single" w:color="auto"/>
    </w:rPr>
  </w:style>
  <w:style w:type="paragraph" w:styleId="Header">
    <w:name w:val="header"/>
    <w:basedOn w:val="normal"/>
    <w:link w:val="Header Char"/>
    <w:unhideWhenUsed/>
    <w:pPr>
      <w:tabs>
        <w:tab w:val="center" w:pos="4680"/>
        <w:tab w:val="right" w:pos="9360"/>
      </w:tabs>
      <w:spacing w:after="0" w:line="240" w:lineRule="auto"/>
    </w:pPr>
  </w:style>
  <w:style w:type="paragraph" w:styleId="ListParagraph">
    <w:name w:val="List Paragraph"/>
    <w:basedOn w:val="normal"/>
    <w:qFormat/>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SAMSUNG-SM-G930A</cp:lastModifiedBy>
  <cp:revision>1</cp:revision>
  <dcterms:created xsi:type="dcterms:W3CDTF">2018-07-12T12:29:00Z</dcterms:created>
  <dcterms:modified xsi:type="dcterms:W3CDTF">2018-07-29T23:42:52Z</dcterms:modified>
  <cp:version>04.2000</cp:version>
</cp:coreProperties>
</file>