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C1BBB" w:rsidRDefault="000C1BBB" w:rsidP="000C1BBB">
      <w:pPr>
        <w:spacing w:line="480" w:lineRule="auto"/>
        <w:jc w:val="center"/>
        <w:rPr>
          <w:rFonts w:ascii="Times New Roman" w:hAnsi="Times New Roman" w:cs="Times New Roman"/>
          <w:sz w:val="24"/>
          <w:szCs w:val="24"/>
        </w:rPr>
      </w:pPr>
    </w:p>
    <w:p w:rsidR="000C1BBB" w:rsidRDefault="000C1BBB" w:rsidP="000C1BBB">
      <w:pPr>
        <w:spacing w:line="480" w:lineRule="auto"/>
        <w:jc w:val="center"/>
        <w:rPr>
          <w:rFonts w:ascii="Times New Roman" w:hAnsi="Times New Roman" w:cs="Times New Roman"/>
          <w:sz w:val="24"/>
          <w:szCs w:val="24"/>
        </w:rPr>
      </w:pPr>
    </w:p>
    <w:p w:rsidR="000C1BBB" w:rsidRDefault="000C1BBB" w:rsidP="000C1BBB">
      <w:pPr>
        <w:spacing w:line="480" w:lineRule="auto"/>
        <w:jc w:val="center"/>
        <w:rPr>
          <w:rFonts w:ascii="Times New Roman" w:hAnsi="Times New Roman" w:cs="Times New Roman"/>
          <w:sz w:val="24"/>
          <w:szCs w:val="24"/>
        </w:rPr>
      </w:pPr>
    </w:p>
    <w:p w:rsidR="000C1BBB" w:rsidRDefault="000C1BBB" w:rsidP="000C1BBB">
      <w:pPr>
        <w:spacing w:line="480" w:lineRule="auto"/>
        <w:jc w:val="center"/>
        <w:rPr>
          <w:rFonts w:ascii="Times New Roman" w:hAnsi="Times New Roman" w:cs="Times New Roman"/>
          <w:sz w:val="24"/>
          <w:szCs w:val="24"/>
        </w:rPr>
      </w:pPr>
    </w:p>
    <w:p w:rsidR="000C1BBB" w:rsidRDefault="000C1BBB" w:rsidP="000C1BBB">
      <w:pPr>
        <w:spacing w:line="480" w:lineRule="auto"/>
        <w:jc w:val="center"/>
        <w:rPr>
          <w:rFonts w:ascii="Times New Roman" w:hAnsi="Times New Roman" w:cs="Times New Roman"/>
          <w:sz w:val="24"/>
          <w:szCs w:val="24"/>
        </w:rPr>
      </w:pPr>
    </w:p>
    <w:p w:rsidR="000C1BBB" w:rsidRDefault="000C1BBB" w:rsidP="000C1BBB">
      <w:pPr>
        <w:spacing w:line="480" w:lineRule="auto"/>
        <w:jc w:val="center"/>
        <w:rPr>
          <w:rFonts w:ascii="Times New Roman" w:hAnsi="Times New Roman" w:cs="Times New Roman"/>
          <w:sz w:val="24"/>
          <w:szCs w:val="24"/>
        </w:rPr>
      </w:pPr>
    </w:p>
    <w:p w:rsidR="000C1BBB" w:rsidRDefault="000C1BBB" w:rsidP="000C1BBB">
      <w:pPr>
        <w:spacing w:line="480" w:lineRule="auto"/>
        <w:jc w:val="center"/>
        <w:rPr>
          <w:rFonts w:ascii="Times New Roman" w:hAnsi="Times New Roman" w:cs="Times New Roman"/>
          <w:sz w:val="24"/>
          <w:szCs w:val="24"/>
        </w:rPr>
      </w:pPr>
    </w:p>
    <w:p w:rsidR="000C1BBB" w:rsidRDefault="000C1BBB" w:rsidP="000C1BBB">
      <w:pPr>
        <w:spacing w:line="480" w:lineRule="auto"/>
        <w:jc w:val="center"/>
        <w:rPr>
          <w:rFonts w:ascii="Times New Roman" w:hAnsi="Times New Roman" w:cs="Times New Roman"/>
          <w:sz w:val="24"/>
          <w:szCs w:val="24"/>
        </w:rPr>
      </w:pPr>
    </w:p>
    <w:p w:rsidR="003E1B8A" w:rsidRDefault="000C1BBB" w:rsidP="000C1BBB">
      <w:pPr>
        <w:spacing w:line="480" w:lineRule="auto"/>
        <w:jc w:val="center"/>
        <w:rPr>
          <w:rFonts w:ascii="Times New Roman" w:hAnsi="Times New Roman" w:cs="Times New Roman"/>
          <w:sz w:val="24"/>
          <w:szCs w:val="24"/>
        </w:rPr>
      </w:pPr>
      <w:r>
        <w:rPr>
          <w:rFonts w:ascii="Times New Roman" w:hAnsi="Times New Roman" w:cs="Times New Roman"/>
          <w:sz w:val="24"/>
          <w:szCs w:val="24"/>
        </w:rPr>
        <w:t>Operating Budget</w:t>
      </w:r>
    </w:p>
    <w:p w:rsidR="000C1BBB" w:rsidRDefault="003033DD" w:rsidP="000C1BBB">
      <w:pPr>
        <w:spacing w:line="480" w:lineRule="auto"/>
        <w:jc w:val="center"/>
        <w:rPr>
          <w:rFonts w:ascii="Times New Roman" w:hAnsi="Times New Roman" w:cs="Times New Roman"/>
          <w:sz w:val="24"/>
          <w:szCs w:val="24"/>
        </w:rPr>
      </w:pPr>
      <w:r>
        <w:rPr>
          <w:rFonts w:ascii="Times New Roman" w:hAnsi="Times New Roman" w:cs="Times New Roman"/>
          <w:sz w:val="24"/>
          <w:szCs w:val="24"/>
        </w:rPr>
        <w:t>S</w:t>
      </w:r>
    </w:p>
    <w:p w:rsidR="000C1BBB" w:rsidRDefault="005C42FE" w:rsidP="000C1BBB">
      <w:pPr>
        <w:spacing w:line="480" w:lineRule="auto"/>
        <w:jc w:val="center"/>
        <w:rPr>
          <w:rFonts w:ascii="Times New Roman" w:hAnsi="Times New Roman" w:cs="Times New Roman"/>
          <w:sz w:val="24"/>
          <w:szCs w:val="24"/>
        </w:rPr>
      </w:pPr>
      <w:r>
        <w:rPr>
          <w:rFonts w:ascii="Times New Roman" w:hAnsi="Times New Roman" w:cs="Times New Roman"/>
          <w:sz w:val="24"/>
          <w:szCs w:val="24"/>
        </w:rPr>
        <w:t xml:space="preserve">Capella University </w:t>
      </w:r>
    </w:p>
    <w:p w:rsidR="005C42FE" w:rsidRDefault="00641340" w:rsidP="000C1BBB">
      <w:pPr>
        <w:spacing w:line="480" w:lineRule="auto"/>
        <w:jc w:val="center"/>
        <w:rPr>
          <w:rFonts w:ascii="Times New Roman" w:hAnsi="Times New Roman" w:cs="Times New Roman"/>
          <w:sz w:val="24"/>
          <w:szCs w:val="24"/>
        </w:rPr>
      </w:pPr>
      <w:r>
        <w:rPr>
          <w:rFonts w:ascii="Times New Roman" w:hAnsi="Times New Roman" w:cs="Times New Roman"/>
          <w:sz w:val="24"/>
          <w:szCs w:val="24"/>
        </w:rPr>
        <w:t>June 15</w:t>
      </w:r>
      <w:bookmarkStart w:id="0" w:name="_GoBack"/>
      <w:bookmarkEnd w:id="0"/>
      <w:r w:rsidR="005C42FE">
        <w:rPr>
          <w:rFonts w:ascii="Times New Roman" w:hAnsi="Times New Roman" w:cs="Times New Roman"/>
          <w:sz w:val="24"/>
          <w:szCs w:val="24"/>
        </w:rPr>
        <w:t>, 2020</w:t>
      </w:r>
    </w:p>
    <w:p w:rsidR="000C1BBB" w:rsidRDefault="000C1BBB" w:rsidP="000C1BBB">
      <w:pPr>
        <w:spacing w:line="480" w:lineRule="auto"/>
        <w:jc w:val="center"/>
        <w:rPr>
          <w:rFonts w:ascii="Times New Roman" w:hAnsi="Times New Roman" w:cs="Times New Roman"/>
          <w:sz w:val="24"/>
          <w:szCs w:val="24"/>
        </w:rPr>
      </w:pPr>
    </w:p>
    <w:p w:rsidR="000C1BBB" w:rsidRDefault="000C1BBB" w:rsidP="000C1BBB">
      <w:pPr>
        <w:spacing w:line="480" w:lineRule="auto"/>
        <w:jc w:val="center"/>
        <w:rPr>
          <w:rFonts w:ascii="Times New Roman" w:hAnsi="Times New Roman" w:cs="Times New Roman"/>
          <w:sz w:val="24"/>
          <w:szCs w:val="24"/>
        </w:rPr>
      </w:pPr>
    </w:p>
    <w:p w:rsidR="000C1BBB" w:rsidRDefault="000C1BBB" w:rsidP="000C1BBB">
      <w:pPr>
        <w:spacing w:line="480" w:lineRule="auto"/>
        <w:jc w:val="center"/>
        <w:rPr>
          <w:rFonts w:ascii="Times New Roman" w:hAnsi="Times New Roman" w:cs="Times New Roman"/>
          <w:sz w:val="24"/>
          <w:szCs w:val="24"/>
        </w:rPr>
      </w:pPr>
    </w:p>
    <w:p w:rsidR="000C1BBB" w:rsidRDefault="000C1BBB" w:rsidP="000C1BBB">
      <w:pPr>
        <w:spacing w:line="480" w:lineRule="auto"/>
        <w:jc w:val="center"/>
        <w:rPr>
          <w:rFonts w:ascii="Times New Roman" w:hAnsi="Times New Roman" w:cs="Times New Roman"/>
          <w:sz w:val="24"/>
          <w:szCs w:val="24"/>
        </w:rPr>
      </w:pPr>
    </w:p>
    <w:p w:rsidR="000C1BBB" w:rsidRDefault="000C1BBB" w:rsidP="000C1BBB">
      <w:pPr>
        <w:spacing w:line="480" w:lineRule="auto"/>
        <w:jc w:val="center"/>
        <w:rPr>
          <w:rFonts w:ascii="Times New Roman" w:hAnsi="Times New Roman" w:cs="Times New Roman"/>
          <w:sz w:val="24"/>
          <w:szCs w:val="24"/>
        </w:rPr>
      </w:pPr>
    </w:p>
    <w:p w:rsidR="000C1BBB" w:rsidRDefault="000C1BBB" w:rsidP="000C1BBB">
      <w:pPr>
        <w:spacing w:line="480" w:lineRule="auto"/>
        <w:jc w:val="center"/>
        <w:rPr>
          <w:rFonts w:ascii="Times New Roman" w:hAnsi="Times New Roman" w:cs="Times New Roman"/>
          <w:sz w:val="24"/>
          <w:szCs w:val="24"/>
        </w:rPr>
      </w:pPr>
    </w:p>
    <w:p w:rsidR="000C1BBB" w:rsidRDefault="000C1BBB" w:rsidP="000C1BBB">
      <w:pPr>
        <w:spacing w:line="480" w:lineRule="auto"/>
        <w:jc w:val="center"/>
        <w:rPr>
          <w:rFonts w:ascii="Times New Roman" w:hAnsi="Times New Roman" w:cs="Times New Roman"/>
          <w:sz w:val="24"/>
          <w:szCs w:val="24"/>
        </w:rPr>
      </w:pPr>
      <w:r>
        <w:rPr>
          <w:rFonts w:ascii="Times New Roman" w:hAnsi="Times New Roman" w:cs="Times New Roman"/>
          <w:sz w:val="24"/>
          <w:szCs w:val="24"/>
        </w:rPr>
        <w:t>Operating Budget</w:t>
      </w:r>
    </w:p>
    <w:tbl>
      <w:tblPr>
        <w:tblStyle w:val="TableGrid"/>
        <w:tblW w:w="0" w:type="auto"/>
        <w:tblLook w:val="04A0" w:firstRow="1" w:lastRow="0" w:firstColumn="1" w:lastColumn="0" w:noHBand="0" w:noVBand="1"/>
      </w:tblPr>
      <w:tblGrid>
        <w:gridCol w:w="4681"/>
        <w:gridCol w:w="4669"/>
      </w:tblGrid>
      <w:tr w:rsidR="00921A2C" w:rsidTr="00921A2C">
        <w:tc>
          <w:tcPr>
            <w:tcW w:w="4788" w:type="dxa"/>
          </w:tcPr>
          <w:p w:rsidR="00921A2C" w:rsidRDefault="00921A2C" w:rsidP="000C1BBB">
            <w:pPr>
              <w:spacing w:line="480" w:lineRule="auto"/>
              <w:jc w:val="center"/>
              <w:rPr>
                <w:rFonts w:ascii="Times New Roman" w:hAnsi="Times New Roman" w:cs="Times New Roman"/>
                <w:sz w:val="24"/>
                <w:szCs w:val="24"/>
              </w:rPr>
            </w:pPr>
            <w:r>
              <w:rPr>
                <w:rFonts w:ascii="Times New Roman" w:hAnsi="Times New Roman" w:cs="Times New Roman"/>
                <w:sz w:val="24"/>
                <w:szCs w:val="24"/>
              </w:rPr>
              <w:t>Nursing Professional FTE</w:t>
            </w:r>
          </w:p>
        </w:tc>
        <w:tc>
          <w:tcPr>
            <w:tcW w:w="4788" w:type="dxa"/>
          </w:tcPr>
          <w:p w:rsidR="00921A2C" w:rsidRDefault="00921A2C" w:rsidP="000C1BBB">
            <w:pPr>
              <w:spacing w:line="480" w:lineRule="auto"/>
              <w:jc w:val="center"/>
              <w:rPr>
                <w:rFonts w:ascii="Times New Roman" w:hAnsi="Times New Roman" w:cs="Times New Roman"/>
                <w:sz w:val="24"/>
                <w:szCs w:val="24"/>
              </w:rPr>
            </w:pPr>
            <w:r>
              <w:rPr>
                <w:rFonts w:ascii="Times New Roman" w:hAnsi="Times New Roman" w:cs="Times New Roman"/>
                <w:sz w:val="24"/>
                <w:szCs w:val="24"/>
              </w:rPr>
              <w:t>Cot</w:t>
            </w:r>
          </w:p>
        </w:tc>
      </w:tr>
      <w:tr w:rsidR="00921A2C" w:rsidTr="00921A2C">
        <w:tc>
          <w:tcPr>
            <w:tcW w:w="4788" w:type="dxa"/>
          </w:tcPr>
          <w:p w:rsidR="00921A2C" w:rsidRDefault="00921A2C" w:rsidP="000C1BBB">
            <w:pPr>
              <w:spacing w:line="480" w:lineRule="auto"/>
              <w:jc w:val="center"/>
              <w:rPr>
                <w:rFonts w:ascii="Times New Roman" w:hAnsi="Times New Roman" w:cs="Times New Roman"/>
                <w:sz w:val="24"/>
                <w:szCs w:val="24"/>
              </w:rPr>
            </w:pPr>
            <w:r>
              <w:rPr>
                <w:rFonts w:ascii="Times New Roman" w:hAnsi="Times New Roman" w:cs="Times New Roman"/>
                <w:sz w:val="24"/>
                <w:szCs w:val="24"/>
              </w:rPr>
              <w:t>Clerical FTE</w:t>
            </w:r>
          </w:p>
        </w:tc>
        <w:tc>
          <w:tcPr>
            <w:tcW w:w="4788" w:type="dxa"/>
          </w:tcPr>
          <w:p w:rsidR="00921A2C" w:rsidRDefault="00921A2C" w:rsidP="000C1BBB">
            <w:pPr>
              <w:spacing w:line="480" w:lineRule="auto"/>
              <w:jc w:val="center"/>
              <w:rPr>
                <w:rFonts w:ascii="Times New Roman" w:hAnsi="Times New Roman" w:cs="Times New Roman"/>
                <w:sz w:val="24"/>
                <w:szCs w:val="24"/>
              </w:rPr>
            </w:pPr>
            <w:r>
              <w:rPr>
                <w:rFonts w:ascii="Times New Roman" w:hAnsi="Times New Roman" w:cs="Times New Roman"/>
                <w:sz w:val="24"/>
                <w:szCs w:val="24"/>
              </w:rPr>
              <w:t>$10,000</w:t>
            </w:r>
          </w:p>
        </w:tc>
      </w:tr>
      <w:tr w:rsidR="00921A2C" w:rsidTr="00921A2C">
        <w:tc>
          <w:tcPr>
            <w:tcW w:w="4788" w:type="dxa"/>
          </w:tcPr>
          <w:p w:rsidR="00921A2C" w:rsidRDefault="00921A2C" w:rsidP="000C1BBB">
            <w:pPr>
              <w:spacing w:line="480" w:lineRule="auto"/>
              <w:jc w:val="center"/>
              <w:rPr>
                <w:rFonts w:ascii="Times New Roman" w:hAnsi="Times New Roman" w:cs="Times New Roman"/>
                <w:sz w:val="24"/>
                <w:szCs w:val="24"/>
              </w:rPr>
            </w:pPr>
            <w:r>
              <w:rPr>
                <w:rFonts w:ascii="Times New Roman" w:hAnsi="Times New Roman" w:cs="Times New Roman"/>
                <w:sz w:val="24"/>
                <w:szCs w:val="24"/>
              </w:rPr>
              <w:t>Office Supplies</w:t>
            </w:r>
          </w:p>
        </w:tc>
        <w:tc>
          <w:tcPr>
            <w:tcW w:w="4788" w:type="dxa"/>
          </w:tcPr>
          <w:p w:rsidR="00921A2C" w:rsidRDefault="00921A2C" w:rsidP="000C1BBB">
            <w:pPr>
              <w:spacing w:line="480" w:lineRule="auto"/>
              <w:jc w:val="center"/>
              <w:rPr>
                <w:rFonts w:ascii="Times New Roman" w:hAnsi="Times New Roman" w:cs="Times New Roman"/>
                <w:sz w:val="24"/>
                <w:szCs w:val="24"/>
              </w:rPr>
            </w:pPr>
            <w:r>
              <w:rPr>
                <w:rFonts w:ascii="Times New Roman" w:hAnsi="Times New Roman" w:cs="Times New Roman"/>
                <w:sz w:val="24"/>
                <w:szCs w:val="24"/>
              </w:rPr>
              <w:t>$15,000</w:t>
            </w:r>
          </w:p>
        </w:tc>
      </w:tr>
      <w:tr w:rsidR="00921A2C" w:rsidTr="00921A2C">
        <w:tc>
          <w:tcPr>
            <w:tcW w:w="4788" w:type="dxa"/>
          </w:tcPr>
          <w:p w:rsidR="00921A2C" w:rsidRDefault="00921A2C" w:rsidP="000C1BBB">
            <w:pPr>
              <w:spacing w:line="480" w:lineRule="auto"/>
              <w:jc w:val="center"/>
              <w:rPr>
                <w:rFonts w:ascii="Times New Roman" w:hAnsi="Times New Roman" w:cs="Times New Roman"/>
                <w:sz w:val="24"/>
                <w:szCs w:val="24"/>
              </w:rPr>
            </w:pPr>
            <w:r>
              <w:rPr>
                <w:rFonts w:ascii="Times New Roman" w:hAnsi="Times New Roman" w:cs="Times New Roman"/>
                <w:sz w:val="24"/>
                <w:szCs w:val="24"/>
              </w:rPr>
              <w:t>Salaries and Wages</w:t>
            </w:r>
          </w:p>
        </w:tc>
        <w:tc>
          <w:tcPr>
            <w:tcW w:w="4788" w:type="dxa"/>
          </w:tcPr>
          <w:p w:rsidR="00921A2C" w:rsidRDefault="00921A2C" w:rsidP="000C1BBB">
            <w:pPr>
              <w:spacing w:line="480" w:lineRule="auto"/>
              <w:jc w:val="center"/>
              <w:rPr>
                <w:rFonts w:ascii="Times New Roman" w:hAnsi="Times New Roman" w:cs="Times New Roman"/>
                <w:sz w:val="24"/>
                <w:szCs w:val="24"/>
              </w:rPr>
            </w:pPr>
            <w:r>
              <w:rPr>
                <w:rFonts w:ascii="Times New Roman" w:hAnsi="Times New Roman" w:cs="Times New Roman"/>
                <w:sz w:val="24"/>
                <w:szCs w:val="24"/>
              </w:rPr>
              <w:t>$243,300</w:t>
            </w:r>
          </w:p>
        </w:tc>
      </w:tr>
      <w:tr w:rsidR="00921A2C" w:rsidTr="00921A2C">
        <w:tc>
          <w:tcPr>
            <w:tcW w:w="4788" w:type="dxa"/>
          </w:tcPr>
          <w:p w:rsidR="00921A2C" w:rsidRDefault="00D53C8F" w:rsidP="00921A2C">
            <w:pPr>
              <w:spacing w:line="480" w:lineRule="auto"/>
              <w:jc w:val="center"/>
              <w:rPr>
                <w:rFonts w:ascii="Times New Roman" w:hAnsi="Times New Roman" w:cs="Times New Roman"/>
                <w:sz w:val="24"/>
                <w:szCs w:val="24"/>
              </w:rPr>
            </w:pPr>
            <w:r>
              <w:rPr>
                <w:rFonts w:ascii="Times New Roman" w:hAnsi="Times New Roman" w:cs="Times New Roman"/>
                <w:sz w:val="24"/>
                <w:szCs w:val="24"/>
              </w:rPr>
              <w:t xml:space="preserve">Medical </w:t>
            </w:r>
            <w:r w:rsidR="00921A2C">
              <w:rPr>
                <w:rFonts w:ascii="Times New Roman" w:hAnsi="Times New Roman" w:cs="Times New Roman"/>
                <w:sz w:val="24"/>
                <w:szCs w:val="24"/>
              </w:rPr>
              <w:t xml:space="preserve"> Supplies</w:t>
            </w:r>
          </w:p>
        </w:tc>
        <w:tc>
          <w:tcPr>
            <w:tcW w:w="4788" w:type="dxa"/>
          </w:tcPr>
          <w:p w:rsidR="00921A2C" w:rsidRDefault="00921A2C" w:rsidP="000C1BBB">
            <w:pPr>
              <w:spacing w:line="480" w:lineRule="auto"/>
              <w:jc w:val="center"/>
              <w:rPr>
                <w:rFonts w:ascii="Times New Roman" w:hAnsi="Times New Roman" w:cs="Times New Roman"/>
                <w:sz w:val="24"/>
                <w:szCs w:val="24"/>
              </w:rPr>
            </w:pPr>
            <w:r>
              <w:rPr>
                <w:rFonts w:ascii="Times New Roman" w:hAnsi="Times New Roman" w:cs="Times New Roman"/>
                <w:sz w:val="24"/>
                <w:szCs w:val="24"/>
              </w:rPr>
              <w:t>$200</w:t>
            </w:r>
          </w:p>
        </w:tc>
      </w:tr>
      <w:tr w:rsidR="00921A2C" w:rsidTr="00921A2C">
        <w:tc>
          <w:tcPr>
            <w:tcW w:w="4788" w:type="dxa"/>
          </w:tcPr>
          <w:p w:rsidR="00921A2C" w:rsidRDefault="00921A2C" w:rsidP="000C1BBB">
            <w:pPr>
              <w:spacing w:line="480" w:lineRule="auto"/>
              <w:jc w:val="center"/>
              <w:rPr>
                <w:rFonts w:ascii="Times New Roman" w:hAnsi="Times New Roman" w:cs="Times New Roman"/>
                <w:sz w:val="24"/>
                <w:szCs w:val="24"/>
              </w:rPr>
            </w:pPr>
            <w:r>
              <w:rPr>
                <w:rFonts w:ascii="Times New Roman" w:hAnsi="Times New Roman" w:cs="Times New Roman"/>
                <w:sz w:val="24"/>
                <w:szCs w:val="24"/>
              </w:rPr>
              <w:t xml:space="preserve">Rent/ depreciation. </w:t>
            </w:r>
          </w:p>
        </w:tc>
        <w:tc>
          <w:tcPr>
            <w:tcW w:w="4788" w:type="dxa"/>
          </w:tcPr>
          <w:p w:rsidR="00921A2C" w:rsidRDefault="00921A2C" w:rsidP="000C1BBB">
            <w:pPr>
              <w:spacing w:line="480" w:lineRule="auto"/>
              <w:jc w:val="center"/>
              <w:rPr>
                <w:rFonts w:ascii="Times New Roman" w:hAnsi="Times New Roman" w:cs="Times New Roman"/>
                <w:sz w:val="24"/>
                <w:szCs w:val="24"/>
              </w:rPr>
            </w:pPr>
            <w:r>
              <w:rPr>
                <w:rFonts w:ascii="Times New Roman" w:hAnsi="Times New Roman" w:cs="Times New Roman"/>
                <w:sz w:val="24"/>
                <w:szCs w:val="24"/>
              </w:rPr>
              <w:t>$44000</w:t>
            </w:r>
          </w:p>
        </w:tc>
      </w:tr>
      <w:tr w:rsidR="00921A2C" w:rsidTr="00921A2C">
        <w:tc>
          <w:tcPr>
            <w:tcW w:w="4788" w:type="dxa"/>
          </w:tcPr>
          <w:p w:rsidR="00921A2C" w:rsidRDefault="00921A2C" w:rsidP="00921A2C">
            <w:pPr>
              <w:spacing w:line="480" w:lineRule="auto"/>
              <w:rPr>
                <w:rFonts w:ascii="Times New Roman" w:hAnsi="Times New Roman" w:cs="Times New Roman"/>
                <w:sz w:val="24"/>
                <w:szCs w:val="24"/>
              </w:rPr>
            </w:pPr>
            <w:r>
              <w:rPr>
                <w:rFonts w:ascii="Times New Roman" w:hAnsi="Times New Roman" w:cs="Times New Roman"/>
                <w:sz w:val="24"/>
                <w:szCs w:val="24"/>
              </w:rPr>
              <w:t xml:space="preserve">                            Utilities</w:t>
            </w:r>
          </w:p>
        </w:tc>
        <w:tc>
          <w:tcPr>
            <w:tcW w:w="4788" w:type="dxa"/>
          </w:tcPr>
          <w:p w:rsidR="00921A2C" w:rsidRDefault="00921A2C" w:rsidP="000C1BBB">
            <w:pPr>
              <w:spacing w:line="480" w:lineRule="auto"/>
              <w:jc w:val="center"/>
              <w:rPr>
                <w:rFonts w:ascii="Times New Roman" w:hAnsi="Times New Roman" w:cs="Times New Roman"/>
                <w:sz w:val="24"/>
                <w:szCs w:val="24"/>
              </w:rPr>
            </w:pPr>
            <w:r>
              <w:rPr>
                <w:rFonts w:ascii="Times New Roman" w:hAnsi="Times New Roman" w:cs="Times New Roman"/>
                <w:sz w:val="24"/>
                <w:szCs w:val="24"/>
              </w:rPr>
              <w:t>$12,136</w:t>
            </w:r>
          </w:p>
        </w:tc>
      </w:tr>
      <w:tr w:rsidR="00921A2C" w:rsidTr="00921A2C">
        <w:tc>
          <w:tcPr>
            <w:tcW w:w="4788" w:type="dxa"/>
          </w:tcPr>
          <w:p w:rsidR="00921A2C" w:rsidRDefault="00921A2C" w:rsidP="000C1BBB">
            <w:pPr>
              <w:spacing w:line="480" w:lineRule="auto"/>
              <w:jc w:val="center"/>
              <w:rPr>
                <w:rFonts w:ascii="Times New Roman" w:hAnsi="Times New Roman" w:cs="Times New Roman"/>
                <w:sz w:val="24"/>
                <w:szCs w:val="24"/>
              </w:rPr>
            </w:pPr>
            <w:r>
              <w:rPr>
                <w:rFonts w:ascii="Times New Roman" w:hAnsi="Times New Roman" w:cs="Times New Roman"/>
                <w:sz w:val="24"/>
                <w:szCs w:val="24"/>
              </w:rPr>
              <w:t>Other Expenses</w:t>
            </w:r>
          </w:p>
        </w:tc>
        <w:tc>
          <w:tcPr>
            <w:tcW w:w="4788" w:type="dxa"/>
          </w:tcPr>
          <w:p w:rsidR="00921A2C" w:rsidRDefault="00921A2C" w:rsidP="000C1BBB">
            <w:pPr>
              <w:spacing w:line="480" w:lineRule="auto"/>
              <w:jc w:val="center"/>
              <w:rPr>
                <w:rFonts w:ascii="Times New Roman" w:hAnsi="Times New Roman" w:cs="Times New Roman"/>
                <w:sz w:val="24"/>
                <w:szCs w:val="24"/>
              </w:rPr>
            </w:pPr>
            <w:r>
              <w:rPr>
                <w:rFonts w:ascii="Times New Roman" w:hAnsi="Times New Roman" w:cs="Times New Roman"/>
                <w:sz w:val="24"/>
                <w:szCs w:val="24"/>
              </w:rPr>
              <w:t>$25,000</w:t>
            </w:r>
          </w:p>
        </w:tc>
      </w:tr>
      <w:tr w:rsidR="00921A2C" w:rsidTr="00921A2C">
        <w:tc>
          <w:tcPr>
            <w:tcW w:w="4788" w:type="dxa"/>
          </w:tcPr>
          <w:p w:rsidR="00921A2C" w:rsidRPr="00921A2C" w:rsidRDefault="00921A2C" w:rsidP="00921A2C">
            <w:pPr>
              <w:spacing w:line="480" w:lineRule="auto"/>
              <w:rPr>
                <w:rFonts w:ascii="Times New Roman" w:hAnsi="Times New Roman" w:cs="Times New Roman"/>
                <w:b/>
                <w:sz w:val="24"/>
                <w:szCs w:val="24"/>
              </w:rPr>
            </w:pPr>
            <w:r w:rsidRPr="00921A2C">
              <w:rPr>
                <w:rFonts w:ascii="Times New Roman" w:hAnsi="Times New Roman" w:cs="Times New Roman"/>
                <w:b/>
                <w:sz w:val="24"/>
                <w:szCs w:val="24"/>
              </w:rPr>
              <w:t>Total Operating Expenses</w:t>
            </w:r>
          </w:p>
        </w:tc>
        <w:tc>
          <w:tcPr>
            <w:tcW w:w="4788" w:type="dxa"/>
          </w:tcPr>
          <w:p w:rsidR="00921A2C" w:rsidRDefault="00921A2C" w:rsidP="000C1BBB">
            <w:pPr>
              <w:spacing w:line="480" w:lineRule="auto"/>
              <w:jc w:val="center"/>
              <w:rPr>
                <w:rFonts w:ascii="Times New Roman" w:hAnsi="Times New Roman" w:cs="Times New Roman"/>
                <w:sz w:val="24"/>
                <w:szCs w:val="24"/>
              </w:rPr>
            </w:pPr>
            <w:r>
              <w:rPr>
                <w:rFonts w:ascii="Times New Roman" w:hAnsi="Times New Roman" w:cs="Times New Roman"/>
                <w:sz w:val="24"/>
                <w:szCs w:val="24"/>
              </w:rPr>
              <w:t>$519636</w:t>
            </w:r>
          </w:p>
        </w:tc>
      </w:tr>
      <w:tr w:rsidR="00921A2C" w:rsidTr="00921A2C">
        <w:tc>
          <w:tcPr>
            <w:tcW w:w="4788" w:type="dxa"/>
          </w:tcPr>
          <w:p w:rsidR="00921A2C" w:rsidRDefault="00921A2C" w:rsidP="00921A2C">
            <w:pPr>
              <w:spacing w:line="480" w:lineRule="auto"/>
              <w:rPr>
                <w:rFonts w:ascii="Times New Roman" w:hAnsi="Times New Roman" w:cs="Times New Roman"/>
                <w:sz w:val="24"/>
                <w:szCs w:val="24"/>
              </w:rPr>
            </w:pPr>
            <w:r>
              <w:rPr>
                <w:rFonts w:ascii="Times New Roman" w:hAnsi="Times New Roman" w:cs="Times New Roman"/>
                <w:sz w:val="24"/>
                <w:szCs w:val="24"/>
              </w:rPr>
              <w:t>Average Expense per Patient Encounter</w:t>
            </w:r>
          </w:p>
        </w:tc>
        <w:tc>
          <w:tcPr>
            <w:tcW w:w="4788" w:type="dxa"/>
          </w:tcPr>
          <w:p w:rsidR="00921A2C" w:rsidRDefault="00921A2C" w:rsidP="000C1BBB">
            <w:pPr>
              <w:spacing w:line="480" w:lineRule="auto"/>
              <w:jc w:val="center"/>
              <w:rPr>
                <w:rFonts w:ascii="Times New Roman" w:hAnsi="Times New Roman" w:cs="Times New Roman"/>
                <w:sz w:val="24"/>
                <w:szCs w:val="24"/>
              </w:rPr>
            </w:pPr>
            <w:r>
              <w:rPr>
                <w:rFonts w:ascii="Times New Roman" w:hAnsi="Times New Roman" w:cs="Times New Roman"/>
                <w:sz w:val="24"/>
                <w:szCs w:val="24"/>
              </w:rPr>
              <w:t>$86.61</w:t>
            </w:r>
          </w:p>
        </w:tc>
      </w:tr>
      <w:tr w:rsidR="00921A2C" w:rsidTr="00921A2C">
        <w:tc>
          <w:tcPr>
            <w:tcW w:w="4788" w:type="dxa"/>
          </w:tcPr>
          <w:p w:rsidR="00921A2C" w:rsidRDefault="00921A2C" w:rsidP="00921A2C">
            <w:pPr>
              <w:spacing w:line="480" w:lineRule="auto"/>
              <w:rPr>
                <w:rFonts w:ascii="Times New Roman" w:hAnsi="Times New Roman" w:cs="Times New Roman"/>
                <w:sz w:val="24"/>
                <w:szCs w:val="24"/>
              </w:rPr>
            </w:pPr>
            <w:r>
              <w:rPr>
                <w:rFonts w:ascii="Times New Roman" w:hAnsi="Times New Roman" w:cs="Times New Roman"/>
                <w:sz w:val="24"/>
                <w:szCs w:val="24"/>
              </w:rPr>
              <w:t>Net Profit</w:t>
            </w:r>
          </w:p>
        </w:tc>
        <w:tc>
          <w:tcPr>
            <w:tcW w:w="4788" w:type="dxa"/>
          </w:tcPr>
          <w:p w:rsidR="00921A2C" w:rsidRDefault="00921A2C" w:rsidP="000C1BBB">
            <w:pPr>
              <w:spacing w:line="480" w:lineRule="auto"/>
              <w:jc w:val="center"/>
              <w:rPr>
                <w:rFonts w:ascii="Times New Roman" w:hAnsi="Times New Roman" w:cs="Times New Roman"/>
                <w:sz w:val="24"/>
                <w:szCs w:val="24"/>
              </w:rPr>
            </w:pPr>
            <w:r>
              <w:rPr>
                <w:rFonts w:ascii="Times New Roman" w:hAnsi="Times New Roman" w:cs="Times New Roman"/>
                <w:sz w:val="24"/>
                <w:szCs w:val="24"/>
              </w:rPr>
              <w:t>$10,364</w:t>
            </w:r>
          </w:p>
        </w:tc>
      </w:tr>
    </w:tbl>
    <w:p w:rsidR="000C1BBB" w:rsidRDefault="000C1BBB" w:rsidP="00921A2C">
      <w:pPr>
        <w:spacing w:line="480" w:lineRule="auto"/>
        <w:rPr>
          <w:rFonts w:ascii="Times New Roman" w:hAnsi="Times New Roman" w:cs="Times New Roman"/>
          <w:sz w:val="24"/>
          <w:szCs w:val="24"/>
        </w:rPr>
      </w:pPr>
    </w:p>
    <w:p w:rsidR="00581386" w:rsidRPr="00581386" w:rsidRDefault="00921A2C" w:rsidP="00581386">
      <w:pPr>
        <w:spacing w:line="480" w:lineRule="auto"/>
        <w:rPr>
          <w:rFonts w:ascii="Times New Roman" w:hAnsi="Times New Roman" w:cs="Times New Roman"/>
          <w:sz w:val="24"/>
          <w:szCs w:val="24"/>
        </w:rPr>
      </w:pPr>
      <w:r>
        <w:rPr>
          <w:rFonts w:ascii="Times New Roman" w:hAnsi="Times New Roman" w:cs="Times New Roman"/>
          <w:sz w:val="24"/>
          <w:szCs w:val="24"/>
        </w:rPr>
        <w:tab/>
      </w:r>
      <w:r w:rsidR="00EE04AD">
        <w:rPr>
          <w:rFonts w:ascii="Times New Roman" w:hAnsi="Times New Roman" w:cs="Times New Roman"/>
          <w:sz w:val="24"/>
          <w:szCs w:val="24"/>
        </w:rPr>
        <w:t xml:space="preserve"> </w:t>
      </w:r>
      <w:r w:rsidR="00581386" w:rsidRPr="00581386">
        <w:rPr>
          <w:rFonts w:ascii="Times New Roman" w:hAnsi="Times New Roman" w:cs="Times New Roman"/>
          <w:sz w:val="24"/>
          <w:szCs w:val="24"/>
        </w:rPr>
        <w:t xml:space="preserve">The budget was designed based on the daily operating expenses that the hospital incurs in providing services to the older population. In this regard, the full-time clerical equivalent (FTE) cost was chosen to encompass activities such as updating of computer databases, coordination of various departments within the facility, and offering of education to the nursing professionals. In this regard, it was determined that the facility with charges of hours per patient day (HPPD) of 9.5. The measurement of work is 35 patients. Therefore, the HPPD of 9.5 was </w:t>
      </w:r>
      <w:r w:rsidR="00581386" w:rsidRPr="00581386">
        <w:rPr>
          <w:rFonts w:ascii="Times New Roman" w:hAnsi="Times New Roman" w:cs="Times New Roman"/>
          <w:sz w:val="24"/>
          <w:szCs w:val="24"/>
        </w:rPr>
        <w:lastRenderedPageBreak/>
        <w:t>multiplied by 35 to result in 332.5 hours. Therefore, the total direct labor was calculated by multiplying the number of clerical staff with direct labor hours as well as the costs incurred per labor delivery. The hours indicated the number of hours that the clerical staff needed per 24 hours within a day for every clerical staff. Also, the office supplies expenditure comprised items such as office glue, pens, pencils, note pads, etc. The total costs incurred per day due to the aforementioned expenditure sums up to $10,000 per day. The supplies are direct materials that facilitate the delivery of care services to the older demographic. Medical supplies costs comprise diagnostic and testing equipment, old care medication, surgical tools, diabetes medicine, life-saving devices, and electronic machines. The medical supplies are the ones that are used on a day-to-day basis to meet the care needs of the old population. The expenditure constituted a general administrative budget. The supplies are often offset using cash that is obtained from the overall cash flow within the care unit. </w:t>
      </w:r>
    </w:p>
    <w:p w:rsidR="00581386" w:rsidRPr="00581386" w:rsidRDefault="00581386" w:rsidP="00581386">
      <w:pPr>
        <w:spacing w:line="480" w:lineRule="auto"/>
        <w:rPr>
          <w:rFonts w:ascii="Times New Roman" w:hAnsi="Times New Roman" w:cs="Times New Roman"/>
          <w:sz w:val="24"/>
          <w:szCs w:val="24"/>
        </w:rPr>
      </w:pPr>
      <w:r w:rsidRPr="00581386">
        <w:rPr>
          <w:rFonts w:ascii="Times New Roman" w:hAnsi="Times New Roman" w:cs="Times New Roman"/>
          <w:sz w:val="24"/>
          <w:szCs w:val="24"/>
        </w:rPr>
        <w:t xml:space="preserve">           Moreover, the salaries and wages for the nursing staff were determined from the nurses’ payrolls. In this regard, it was established that the nursing positions that need to be filled, as well as the existing nurses will incur a total expenditure of $243,300. The salaries and wages were determined based on the skill mix framework. The budget was determined based on the levels of various nursing qualifications within the hospital. Therefore, the total included the costs of hiring registered nurses, licensed practicing nurses, unit secretary, and the assistive personnel. Evidence-based practices depict that registered nurses are the ones that have the highest set of skills. Therefore, this category of nurses was the ones that contributed the highest percentage of the salaries and wages budget. In this regard, the registered nurses were paid a total of $60.30 per </w:t>
      </w:r>
      <w:r w:rsidRPr="00581386">
        <w:rPr>
          <w:rFonts w:ascii="Times New Roman" w:hAnsi="Times New Roman" w:cs="Times New Roman"/>
          <w:sz w:val="24"/>
          <w:szCs w:val="24"/>
        </w:rPr>
        <w:lastRenderedPageBreak/>
        <w:t>house using an HPPD of 9.0. The wages and salaries costs were also determined based on the number of hours that the nurse would work per shift. The facility will require two additional registered nurses to fill the vacant positions. Also, it will need one more assistive nurse to help with the workload in the care unit. </w:t>
      </w:r>
    </w:p>
    <w:p w:rsidR="00581386" w:rsidRPr="00581386" w:rsidRDefault="00581386" w:rsidP="00581386">
      <w:pPr>
        <w:spacing w:line="480" w:lineRule="auto"/>
        <w:rPr>
          <w:rFonts w:ascii="Times New Roman" w:hAnsi="Times New Roman" w:cs="Times New Roman"/>
          <w:sz w:val="24"/>
          <w:szCs w:val="24"/>
        </w:rPr>
      </w:pPr>
      <w:r w:rsidRPr="00581386">
        <w:rPr>
          <w:rFonts w:ascii="Times New Roman" w:hAnsi="Times New Roman" w:cs="Times New Roman"/>
          <w:sz w:val="24"/>
          <w:szCs w:val="24"/>
        </w:rPr>
        <w:t>           In addition, rent expenditure costs were based on the money that the care facility pays the owner of the premise on which the care facility is established. In this regard, the care facility is required to pay monthly remittance to the building owner to allow it to continue its operations. Therefore, the cost amounted to $44,000 per month. The utility costs entailed the expenditure incurred on water, electricity, and the internet. Thus, the costs were distributed over the three utilities, and it amounted to $12,136. Other miscellaneous expenses that the care facility incurs amounted to $25,000. The expenses comprised costs that are not part of the normal day-to-day operations. The costs included expenses on transport and fuel used to transport the old patients to emergency care units. In this regard, the total expenditure amounted to $519,636.</w:t>
      </w:r>
    </w:p>
    <w:p w:rsidR="00581386" w:rsidRPr="00581386" w:rsidRDefault="00581386" w:rsidP="00581386">
      <w:pPr>
        <w:spacing w:line="480" w:lineRule="auto"/>
        <w:rPr>
          <w:rFonts w:ascii="Times New Roman" w:hAnsi="Times New Roman" w:cs="Times New Roman"/>
          <w:sz w:val="24"/>
          <w:szCs w:val="24"/>
        </w:rPr>
      </w:pPr>
      <w:r w:rsidRPr="00581386">
        <w:rPr>
          <w:rFonts w:ascii="Times New Roman" w:hAnsi="Times New Roman" w:cs="Times New Roman"/>
          <w:b/>
          <w:bCs/>
          <w:sz w:val="24"/>
          <w:szCs w:val="24"/>
        </w:rPr>
        <w:t>The Strategic Plan</w:t>
      </w:r>
    </w:p>
    <w:p w:rsidR="00581386" w:rsidRPr="00581386" w:rsidRDefault="00581386" w:rsidP="00581386">
      <w:pPr>
        <w:spacing w:line="480" w:lineRule="auto"/>
        <w:rPr>
          <w:rFonts w:ascii="Times New Roman" w:hAnsi="Times New Roman" w:cs="Times New Roman"/>
          <w:sz w:val="24"/>
          <w:szCs w:val="24"/>
        </w:rPr>
      </w:pPr>
      <w:r w:rsidRPr="00581386">
        <w:rPr>
          <w:rFonts w:ascii="Times New Roman" w:hAnsi="Times New Roman" w:cs="Times New Roman"/>
          <w:sz w:val="24"/>
          <w:szCs w:val="24"/>
        </w:rPr>
        <w:t xml:space="preserve">           The strategic approach for the care unit is to enhance optimal patient satisfaction. The hospital aims to reach the 75th percentile by 2022. Therefore, the care facility aims to increase the number of nurses that take care of patients per bed. Also, the facility aims to ensure that a nurse is always available to tend to the care needs of patients in the 35 beds. Thus, the management is developing holistic solutions that focus on bedside reporting that ensures that the health statuses of the patients are recorded every day. In doing, the care facility will be able to monitor the progress of the patients in a bid to ensure the maximal quality of life for the old </w:t>
      </w:r>
      <w:r w:rsidRPr="00581386">
        <w:rPr>
          <w:rFonts w:ascii="Times New Roman" w:hAnsi="Times New Roman" w:cs="Times New Roman"/>
          <w:sz w:val="24"/>
          <w:szCs w:val="24"/>
        </w:rPr>
        <w:lastRenderedPageBreak/>
        <w:t>patients. Also, the approach will ensure that nurses are not overworked since there will be a shift schedule that delegates the number of hours that the nurses should spend with the patients (UC Irvine Health, 2017). Therefore, the strategy will improve nurse satisfaction and performance; thereby, they will less likely change jobs. As a result, the care unit will not incur additional costs associated with hiring and recruiting new nurses.</w:t>
      </w:r>
    </w:p>
    <w:p w:rsidR="00581386" w:rsidRPr="00581386" w:rsidRDefault="00581386" w:rsidP="00581386">
      <w:pPr>
        <w:spacing w:line="480" w:lineRule="auto"/>
        <w:rPr>
          <w:rFonts w:ascii="Times New Roman" w:hAnsi="Times New Roman" w:cs="Times New Roman"/>
          <w:sz w:val="24"/>
          <w:szCs w:val="24"/>
        </w:rPr>
      </w:pPr>
      <w:r w:rsidRPr="00581386">
        <w:rPr>
          <w:rFonts w:ascii="Times New Roman" w:hAnsi="Times New Roman" w:cs="Times New Roman"/>
          <w:sz w:val="24"/>
          <w:szCs w:val="24"/>
        </w:rPr>
        <w:t>           Another approach that the care facility should take into account is the continual improvement and assessment of nursing quality. The nurses are required to meet the nursing quality indicators that relate to pain, falls, skincare, hand hygiene, and infection prevention (Nursing Management, 2009). The nursing indicators mentioned above will ensure maximum care outcomes. The old patients will have their longevity and quality of life increased when optimal nursing practices are observed to the latter. Therefore, the patients will less likely vulnerable to relapse and readmission. As a result, the care facility will not incur the expenses associated with readmissions. Thus, the care organization is looking to participate in the flow sheet redesign frameworks that identify the aforementioned metrics in a bid to find appropriate solutions to the same.</w:t>
      </w:r>
    </w:p>
    <w:p w:rsidR="00581386" w:rsidRPr="00581386" w:rsidRDefault="00581386" w:rsidP="00581386">
      <w:pPr>
        <w:spacing w:line="480" w:lineRule="auto"/>
        <w:rPr>
          <w:rFonts w:ascii="Times New Roman" w:hAnsi="Times New Roman" w:cs="Times New Roman"/>
          <w:sz w:val="24"/>
          <w:szCs w:val="24"/>
        </w:rPr>
      </w:pPr>
      <w:r w:rsidRPr="00581386">
        <w:rPr>
          <w:rFonts w:ascii="Times New Roman" w:hAnsi="Times New Roman" w:cs="Times New Roman"/>
          <w:sz w:val="24"/>
          <w:szCs w:val="24"/>
        </w:rPr>
        <w:t xml:space="preserve">           In addition, nursing innovation and excellence need to be promoted in the nursing setting to promote the flow of daily work. Therefore, the unit’s management should develop a comprehensive communication plan that promotes care coordination and efficiency. Sound communication frameworks will ensure that patients’ health records are accessed, disseminated, and updated appropriately. Besides, the establishment of collaborative efforts among nurses will enhance the utilization of evidence-based practice to treat old patients. The approach will ensure </w:t>
      </w:r>
      <w:r w:rsidRPr="00581386">
        <w:rPr>
          <w:rFonts w:ascii="Times New Roman" w:hAnsi="Times New Roman" w:cs="Times New Roman"/>
          <w:sz w:val="24"/>
          <w:szCs w:val="24"/>
        </w:rPr>
        <w:lastRenderedPageBreak/>
        <w:t>that nursing professionals can make accurate decisions on the factors impeding the delivery of quality care to the patients (Alina Health, 2016). The communication and the data analytics framework will promote the assessment of health determinants that need to be rectified. The change process within the facility will require the adoption of patient-centered culture and the integration of technology in care delivery. In doing so, the hospital will be able to mitigate medical errors that cause adverse effects on the patients. Therefore, the care facility will not incur additional costs associated with re-administration of treatments, and even worse, litigation expenses. Also, improved organizational efficiency will help avoid wastages of medical and office supplies. Therefore, the organization will be able to reduce costs related to the purchases of unnecessary supplies. </w:t>
      </w:r>
    </w:p>
    <w:p w:rsidR="00581386" w:rsidRPr="00581386" w:rsidRDefault="00581386" w:rsidP="00581386">
      <w:pPr>
        <w:spacing w:line="480" w:lineRule="auto"/>
        <w:rPr>
          <w:rFonts w:ascii="Times New Roman" w:hAnsi="Times New Roman" w:cs="Times New Roman"/>
          <w:sz w:val="24"/>
          <w:szCs w:val="24"/>
        </w:rPr>
      </w:pPr>
      <w:r w:rsidRPr="00581386">
        <w:rPr>
          <w:rFonts w:ascii="Times New Roman" w:hAnsi="Times New Roman" w:cs="Times New Roman"/>
          <w:sz w:val="24"/>
          <w:szCs w:val="24"/>
        </w:rPr>
        <w:t xml:space="preserve">           Lastly, the strategic plan will aim to strengthen the nursing leadership within the care unit. In this regard, leadership roles need to be defined to ensure that care coherence is achieved. Disjointed care operation causes delays and reduces employee satisfaction. Therefore, the leaders in charge of the unit should use dynamic leadership strategies to ensure that both the nursing staff and patients are satisfied. The leaders should have high emotional intelligence to respond to the nursing and patient needs effectively. Also, the leaders should use appropriate communication approaches that ensure effective delivery of care instructions (Alina Health, 2016). In doing so, the leaders will be able to establish constructive relationships with the nurses and the patients, therefore, creating a positive working environment. In the end, the care facility will be able to reduce delays since their leaders will ensure proper workflow. Delays are costly to the organization with regards to the costs and time. Thus, an effective leadership paradigm will </w:t>
      </w:r>
      <w:r w:rsidRPr="00581386">
        <w:rPr>
          <w:rFonts w:ascii="Times New Roman" w:hAnsi="Times New Roman" w:cs="Times New Roman"/>
          <w:sz w:val="24"/>
          <w:szCs w:val="24"/>
        </w:rPr>
        <w:lastRenderedPageBreak/>
        <w:t>ensure that patients are administered with interventions as fast as possible. Besides, the time pent on each patient will be reduced significantly since the nurses will be working collaboratively to come to solutions to their respective care needs.</w:t>
      </w:r>
    </w:p>
    <w:p w:rsidR="00581386" w:rsidRPr="00581386" w:rsidRDefault="00581386" w:rsidP="00581386">
      <w:pPr>
        <w:spacing w:line="480" w:lineRule="auto"/>
        <w:rPr>
          <w:rFonts w:ascii="Times New Roman" w:hAnsi="Times New Roman" w:cs="Times New Roman"/>
          <w:sz w:val="24"/>
          <w:szCs w:val="24"/>
        </w:rPr>
      </w:pPr>
      <w:r w:rsidRPr="00581386">
        <w:rPr>
          <w:rFonts w:ascii="Times New Roman" w:hAnsi="Times New Roman" w:cs="Times New Roman"/>
          <w:b/>
          <w:bCs/>
          <w:sz w:val="24"/>
          <w:szCs w:val="24"/>
        </w:rPr>
        <w:t>Ongoing Budget Management</w:t>
      </w:r>
    </w:p>
    <w:p w:rsidR="00581386" w:rsidRPr="00581386" w:rsidRDefault="00581386" w:rsidP="00581386">
      <w:pPr>
        <w:spacing w:line="480" w:lineRule="auto"/>
        <w:rPr>
          <w:rFonts w:ascii="Times New Roman" w:hAnsi="Times New Roman" w:cs="Times New Roman"/>
          <w:sz w:val="24"/>
          <w:szCs w:val="24"/>
        </w:rPr>
      </w:pPr>
      <w:r w:rsidRPr="00581386">
        <w:rPr>
          <w:rFonts w:ascii="Times New Roman" w:hAnsi="Times New Roman" w:cs="Times New Roman"/>
          <w:sz w:val="24"/>
          <w:szCs w:val="24"/>
        </w:rPr>
        <w:t xml:space="preserve">           Budget management will be promoted using technological aids to track expenses through data analytics. The data analytics framework will ensure that all service and patient data are captured to determine operating budget areas that contribute significantly to increased expenditure. The power analytics tools accompanied by artificial intelligence AI-powered algorithms will promote effective budget management. The tools will analyze budgeting metrics that are pertinent to the organization, and the results of the data analysis will be used to improve the overall quality of care. For example, the technological system can calculate shift hours for the nurses and indicate the ones that are neglecting their duties. Nurses will be required to confirm their report hours in the system. Specific targets, such as overtime, will be tracked based on the number of hours that the nurses work. The payment of the amount presented above to offset wages and salaries will be justified since the nurses will work as stipulated in the delegation schedules. The care facility will not have to pay the nurses for the hours that they missed. Also, the digital framework will help the healthcare facility determine risks and opportunities that should be considered in the delivery care services to old patients. The approach will help the healthcare organization to determine how patient volume correlates to staffing (Walsh, 2016). The phenomenon will evoke the creation of a work culture that streamlines care operations so that any challenges in the clinical settings are solved amicably </w:t>
      </w:r>
      <w:r w:rsidRPr="00581386">
        <w:rPr>
          <w:rFonts w:ascii="Times New Roman" w:hAnsi="Times New Roman" w:cs="Times New Roman"/>
          <w:sz w:val="24"/>
          <w:szCs w:val="24"/>
        </w:rPr>
        <w:lastRenderedPageBreak/>
        <w:t>with the available material and human resources. Thus, nurses can determine interventions and medication regimens that result in maximum treatment outcomes. </w:t>
      </w:r>
    </w:p>
    <w:p w:rsidR="00581386" w:rsidRPr="00581386" w:rsidRDefault="00581386" w:rsidP="00581386">
      <w:pPr>
        <w:spacing w:line="480" w:lineRule="auto"/>
        <w:rPr>
          <w:rFonts w:ascii="Times New Roman" w:hAnsi="Times New Roman" w:cs="Times New Roman"/>
          <w:sz w:val="24"/>
          <w:szCs w:val="24"/>
        </w:rPr>
      </w:pPr>
      <w:r w:rsidRPr="00581386">
        <w:rPr>
          <w:rFonts w:ascii="Times New Roman" w:hAnsi="Times New Roman" w:cs="Times New Roman"/>
          <w:sz w:val="24"/>
          <w:szCs w:val="24"/>
        </w:rPr>
        <w:t>           Also, the technological framework will promote communication within the care facility since it will allow nursing professionals to share health records efficiently. The nurses will be able to send messages to each other and gather feedback on the same. Therefore, the information flow pathway will maintain high levels of accountability and transparency. As a result, the management will be able to monitor the spending within the care unit. Adopting communication systems will also enable the management to identify misappropriation and cases of fraud. In doing so, the care facility ensures that the budget allocation is utilized appropriately to avoid losses associated with theft, fraud, and misappropriation. The managers will use the data presented in the spreadsheets within the systems to assess the actual budget and the outcomes. </w:t>
      </w:r>
    </w:p>
    <w:p w:rsidR="00581386" w:rsidRPr="00581386" w:rsidRDefault="00581386" w:rsidP="00581386">
      <w:pPr>
        <w:spacing w:line="480" w:lineRule="auto"/>
        <w:rPr>
          <w:rFonts w:ascii="Times New Roman" w:hAnsi="Times New Roman" w:cs="Times New Roman"/>
          <w:sz w:val="24"/>
          <w:szCs w:val="24"/>
        </w:rPr>
      </w:pPr>
      <w:r w:rsidRPr="00581386">
        <w:rPr>
          <w:rFonts w:ascii="Times New Roman" w:hAnsi="Times New Roman" w:cs="Times New Roman"/>
          <w:sz w:val="24"/>
          <w:szCs w:val="24"/>
        </w:rPr>
        <w:t xml:space="preserve">           Besides, the healthcare organization needs to adopt a holistic accounting system that does all the in-house financing. Thus, the accounting system will ensure all the operating budget deliverables are recorded using sound reporting techniques. The approach will sustain the proposed budget allocation since it ensures optimal Return on Investment (ROI) for the area capital areas. The capital will be distributed throughout the budget and the necessary financial statements such as balance sheets generated. Therefore, the healthcare facility will be able to examine whether the existing operating budget expenses lead to losses. The monetary allotments to the various budget areas should reflect correctly on the position of the hospital to ensure quality care delivery to the old population. Optimal or suboptimal usage of the operating budget will reflect in the financial statements that will be presented to the management using </w:t>
      </w:r>
      <w:r w:rsidRPr="00581386">
        <w:rPr>
          <w:rFonts w:ascii="Times New Roman" w:hAnsi="Times New Roman" w:cs="Times New Roman"/>
          <w:sz w:val="24"/>
          <w:szCs w:val="24"/>
        </w:rPr>
        <w:lastRenderedPageBreak/>
        <w:t>spreadsheets such as Excel. Appropriate accounting systems will also aid in decision-making with regards to the analysis of crucial budgetary elements (Ramanjaneyulu, Babu, &amp; Srinivasarao, 2014). Afterward, the management will need to come up with strategic solutions to budget areas that contribute to healthcare disparities. Shrewd spending is becoming a trend in the modern healthcare landscape in the face of increased care costs. Following this logic, healthcare facilities need to save reasonable amounts to ensure profit sustainability. </w:t>
      </w:r>
    </w:p>
    <w:p w:rsidR="00581386" w:rsidRPr="00581386" w:rsidRDefault="00581386" w:rsidP="00581386">
      <w:pPr>
        <w:spacing w:line="480" w:lineRule="auto"/>
        <w:rPr>
          <w:rFonts w:ascii="Times New Roman" w:hAnsi="Times New Roman" w:cs="Times New Roman"/>
          <w:sz w:val="24"/>
          <w:szCs w:val="24"/>
        </w:rPr>
      </w:pPr>
      <w:r w:rsidRPr="00581386">
        <w:rPr>
          <w:rFonts w:ascii="Times New Roman" w:hAnsi="Times New Roman" w:cs="Times New Roman"/>
          <w:sz w:val="24"/>
          <w:szCs w:val="24"/>
        </w:rPr>
        <w:t xml:space="preserve">           Furthermore, the healthcare facility will use data analytics to predict that they are likely to arise in the future with regards to the complexity of the older population’s care needs. The ongoing operating budget proposal takes into account the budget lines in relation to the staffing ours and supplies needs. The predictive model will be able to determine how staffing and supplies will be impacted negatively in case the unprecedented circumstances emerge. The prediction will be made to align with the existing operational costs that the hospital incurs on a day-to-day basis. Situations that are likely to affect the budgetary allocation negatively will be identified early and appropriate solutions to the same developed. Also, it will help the management to manage staff hours in such a way that nursing practitioners are paid for their stipulated working schedules. Notably, the management will be able to determine how the existing working hours affect the performance of nursing practitioners. Using the data analysis of the nurses’ performance will enable management to determine incentives that should offer them to improve workplace morale. In doing so, the healthcare organization will lose its staff due to poor working conditions. A quality nursing environment will prompt the nurses to endeavor to achieve the organization’s goal of offering patient-centered services. Overall, the predictive </w:t>
      </w:r>
      <w:r w:rsidRPr="00581386">
        <w:rPr>
          <w:rFonts w:ascii="Times New Roman" w:hAnsi="Times New Roman" w:cs="Times New Roman"/>
          <w:sz w:val="24"/>
          <w:szCs w:val="24"/>
        </w:rPr>
        <w:lastRenderedPageBreak/>
        <w:t>paradigm will help assess areas that should be improved to avoid delays, wastages, fraud, and medical errors. The costs associated with the metrics mentioned will be managed effectively to prevent the occurrence of unnecessary expenses. </w:t>
      </w:r>
    </w:p>
    <w:p w:rsidR="00393A12" w:rsidRDefault="00393A12" w:rsidP="00581386">
      <w:pPr>
        <w:spacing w:line="480" w:lineRule="auto"/>
        <w:rPr>
          <w:rFonts w:ascii="Times New Roman" w:hAnsi="Times New Roman" w:cs="Times New Roman"/>
          <w:sz w:val="24"/>
          <w:szCs w:val="24"/>
        </w:rPr>
      </w:pPr>
    </w:p>
    <w:p w:rsidR="00EE04AD" w:rsidRDefault="00EE04AD" w:rsidP="00EE04AD">
      <w:pPr>
        <w:spacing w:line="480" w:lineRule="auto"/>
        <w:jc w:val="center"/>
        <w:rPr>
          <w:rFonts w:ascii="Times New Roman" w:hAnsi="Times New Roman" w:cs="Times New Roman"/>
          <w:sz w:val="24"/>
          <w:szCs w:val="24"/>
        </w:rPr>
      </w:pPr>
      <w:r>
        <w:rPr>
          <w:rFonts w:ascii="Times New Roman" w:hAnsi="Times New Roman" w:cs="Times New Roman"/>
          <w:sz w:val="24"/>
          <w:szCs w:val="24"/>
        </w:rPr>
        <w:t>References</w:t>
      </w:r>
    </w:p>
    <w:p w:rsidR="00E60FAD" w:rsidRDefault="00E60FAD" w:rsidP="00E60FAD">
      <w:pPr>
        <w:spacing w:line="480" w:lineRule="auto"/>
        <w:rPr>
          <w:rFonts w:ascii="Times New Roman" w:hAnsi="Times New Roman" w:cs="Times New Roman"/>
          <w:sz w:val="24"/>
          <w:szCs w:val="24"/>
        </w:rPr>
      </w:pPr>
      <w:r>
        <w:rPr>
          <w:rFonts w:ascii="Times New Roman" w:hAnsi="Times New Roman" w:cs="Times New Roman"/>
          <w:sz w:val="24"/>
          <w:szCs w:val="24"/>
        </w:rPr>
        <w:t>Alina Health. (2016). Nursing strategic plan: United Hospital. 1-4.</w:t>
      </w:r>
    </w:p>
    <w:p w:rsidR="00E60FAD" w:rsidRDefault="00E60FAD" w:rsidP="00E60FAD">
      <w:pPr>
        <w:spacing w:line="480" w:lineRule="auto"/>
        <w:rPr>
          <w:rFonts w:ascii="Times New Roman" w:hAnsi="Times New Roman" w:cs="Times New Roman"/>
          <w:sz w:val="24"/>
          <w:szCs w:val="24"/>
        </w:rPr>
      </w:pPr>
      <w:r w:rsidRPr="00E60FAD">
        <w:rPr>
          <w:rFonts w:ascii="Times New Roman" w:hAnsi="Times New Roman" w:cs="Times New Roman"/>
          <w:sz w:val="24"/>
          <w:szCs w:val="24"/>
        </w:rPr>
        <w:t>Nursing Management. (2009). Nursing strategy. </w:t>
      </w:r>
      <w:r w:rsidRPr="00E60FAD">
        <w:rPr>
          <w:rFonts w:ascii="Times New Roman" w:hAnsi="Times New Roman" w:cs="Times New Roman"/>
          <w:i/>
          <w:iCs/>
          <w:sz w:val="24"/>
          <w:szCs w:val="24"/>
        </w:rPr>
        <w:t>Nursing Management (Springhouse)</w:t>
      </w:r>
      <w:r w:rsidRPr="00E60FAD">
        <w:rPr>
          <w:rFonts w:ascii="Times New Roman" w:hAnsi="Times New Roman" w:cs="Times New Roman"/>
          <w:sz w:val="24"/>
          <w:szCs w:val="24"/>
        </w:rPr>
        <w:t>, </w:t>
      </w:r>
      <w:r w:rsidRPr="00E60FAD">
        <w:rPr>
          <w:rFonts w:ascii="Times New Roman" w:hAnsi="Times New Roman" w:cs="Times New Roman"/>
          <w:i/>
          <w:iCs/>
          <w:sz w:val="24"/>
          <w:szCs w:val="24"/>
        </w:rPr>
        <w:t>40</w:t>
      </w:r>
      <w:r w:rsidRPr="00E60FAD">
        <w:rPr>
          <w:rFonts w:ascii="Times New Roman" w:hAnsi="Times New Roman" w:cs="Times New Roman"/>
          <w:sz w:val="24"/>
          <w:szCs w:val="24"/>
        </w:rPr>
        <w:t xml:space="preserve">(3), 29–30. </w:t>
      </w:r>
      <w:r>
        <w:rPr>
          <w:rFonts w:ascii="Times New Roman" w:hAnsi="Times New Roman" w:cs="Times New Roman"/>
          <w:sz w:val="24"/>
          <w:szCs w:val="24"/>
        </w:rPr>
        <w:tab/>
      </w:r>
      <w:hyperlink r:id="rId6" w:history="1">
        <w:r w:rsidRPr="00002D83">
          <w:rPr>
            <w:rStyle w:val="Hyperlink"/>
            <w:rFonts w:ascii="Times New Roman" w:hAnsi="Times New Roman" w:cs="Times New Roman"/>
            <w:sz w:val="24"/>
            <w:szCs w:val="24"/>
          </w:rPr>
          <w:t>https://doi.org/10.1097/01.numa.0000347410.73201.4b</w:t>
        </w:r>
      </w:hyperlink>
    </w:p>
    <w:p w:rsidR="00E60FAD" w:rsidRDefault="00E60FAD" w:rsidP="00E60FAD">
      <w:pPr>
        <w:spacing w:line="480" w:lineRule="auto"/>
        <w:rPr>
          <w:rFonts w:ascii="Times New Roman" w:hAnsi="Times New Roman" w:cs="Times New Roman"/>
          <w:sz w:val="24"/>
          <w:szCs w:val="24"/>
        </w:rPr>
      </w:pPr>
      <w:r w:rsidRPr="00E60FAD">
        <w:rPr>
          <w:rFonts w:ascii="Times New Roman" w:hAnsi="Times New Roman" w:cs="Times New Roman"/>
          <w:sz w:val="24"/>
          <w:szCs w:val="24"/>
        </w:rPr>
        <w:t xml:space="preserve">Ramanjaneyulu, V., Babu, R., &amp; Srinivasarao, F. (2014). (PDF) A BUDGET PLANNING MODEL </w:t>
      </w:r>
      <w:r>
        <w:rPr>
          <w:rFonts w:ascii="Times New Roman" w:hAnsi="Times New Roman" w:cs="Times New Roman"/>
          <w:sz w:val="24"/>
          <w:szCs w:val="24"/>
        </w:rPr>
        <w:tab/>
      </w:r>
      <w:r w:rsidRPr="00E60FAD">
        <w:rPr>
          <w:rFonts w:ascii="Times New Roman" w:hAnsi="Times New Roman" w:cs="Times New Roman"/>
          <w:sz w:val="24"/>
          <w:szCs w:val="24"/>
        </w:rPr>
        <w:t xml:space="preserve">FOR HEALTH CARE CLINICS. Retrieved June 18, 2020, from ResearchGate website: </w:t>
      </w:r>
      <w:r>
        <w:rPr>
          <w:rFonts w:ascii="Times New Roman" w:hAnsi="Times New Roman" w:cs="Times New Roman"/>
          <w:sz w:val="24"/>
          <w:szCs w:val="24"/>
        </w:rPr>
        <w:tab/>
      </w:r>
      <w:hyperlink r:id="rId7" w:history="1">
        <w:r w:rsidRPr="00002D83">
          <w:rPr>
            <w:rStyle w:val="Hyperlink"/>
            <w:rFonts w:ascii="Times New Roman" w:hAnsi="Times New Roman" w:cs="Times New Roman"/>
            <w:sz w:val="24"/>
            <w:szCs w:val="24"/>
          </w:rPr>
          <w:t>https://www.researchgate.net/publication/281280584_A_BUDGET_PLANNING_MODEL_FOR_HEALTH_CARE_CLINICS</w:t>
        </w:r>
      </w:hyperlink>
      <w:r w:rsidRPr="00E60FAD">
        <w:rPr>
          <w:rFonts w:ascii="Times New Roman" w:hAnsi="Times New Roman" w:cs="Times New Roman"/>
          <w:sz w:val="24"/>
          <w:szCs w:val="24"/>
        </w:rPr>
        <w:t>?</w:t>
      </w:r>
    </w:p>
    <w:p w:rsidR="009E73E2" w:rsidRDefault="009E73E2" w:rsidP="00E60FAD">
      <w:pPr>
        <w:spacing w:line="480" w:lineRule="auto"/>
        <w:rPr>
          <w:rFonts w:ascii="Times New Roman" w:hAnsi="Times New Roman" w:cs="Times New Roman"/>
          <w:sz w:val="24"/>
          <w:szCs w:val="24"/>
        </w:rPr>
      </w:pPr>
      <w:r>
        <w:rPr>
          <w:rFonts w:ascii="Times New Roman" w:hAnsi="Times New Roman" w:cs="Times New Roman"/>
          <w:sz w:val="24"/>
          <w:szCs w:val="24"/>
        </w:rPr>
        <w:t>UC Irvine Health. (2017). Nursing strategic planning summary. Advancing the Future of Healthcare,</w:t>
      </w:r>
    </w:p>
    <w:p w:rsidR="009E73E2" w:rsidRDefault="009E73E2" w:rsidP="00E60FAD">
      <w:pPr>
        <w:spacing w:line="480" w:lineRule="auto"/>
        <w:rPr>
          <w:rFonts w:ascii="Times New Roman" w:hAnsi="Times New Roman" w:cs="Times New Roman"/>
          <w:sz w:val="24"/>
          <w:szCs w:val="24"/>
        </w:rPr>
      </w:pPr>
      <w:r>
        <w:rPr>
          <w:rFonts w:ascii="Times New Roman" w:hAnsi="Times New Roman" w:cs="Times New Roman"/>
          <w:sz w:val="24"/>
          <w:szCs w:val="24"/>
        </w:rPr>
        <w:tab/>
        <w:t>1-6.</w:t>
      </w:r>
    </w:p>
    <w:p w:rsidR="00EE04AD" w:rsidRDefault="00E60FAD" w:rsidP="00E60FAD">
      <w:pPr>
        <w:spacing w:line="480" w:lineRule="auto"/>
        <w:rPr>
          <w:rFonts w:ascii="Times New Roman" w:hAnsi="Times New Roman" w:cs="Times New Roman"/>
          <w:sz w:val="24"/>
          <w:szCs w:val="24"/>
        </w:rPr>
      </w:pPr>
      <w:r w:rsidRPr="00E60FAD">
        <w:rPr>
          <w:rFonts w:ascii="Times New Roman" w:hAnsi="Times New Roman" w:cs="Times New Roman"/>
          <w:sz w:val="24"/>
          <w:szCs w:val="24"/>
        </w:rPr>
        <w:t>Walsh K. (2016). Managing a Budget in Healthcare Professional Education. </w:t>
      </w:r>
      <w:r w:rsidRPr="00E60FAD">
        <w:rPr>
          <w:rFonts w:ascii="Times New Roman" w:hAnsi="Times New Roman" w:cs="Times New Roman"/>
          <w:i/>
          <w:iCs/>
          <w:sz w:val="24"/>
          <w:szCs w:val="24"/>
        </w:rPr>
        <w:t xml:space="preserve">Annals of medical and </w:t>
      </w:r>
      <w:r>
        <w:rPr>
          <w:rFonts w:ascii="Times New Roman" w:hAnsi="Times New Roman" w:cs="Times New Roman"/>
          <w:i/>
          <w:iCs/>
          <w:sz w:val="24"/>
          <w:szCs w:val="24"/>
        </w:rPr>
        <w:tab/>
      </w:r>
      <w:r w:rsidRPr="00E60FAD">
        <w:rPr>
          <w:rFonts w:ascii="Times New Roman" w:hAnsi="Times New Roman" w:cs="Times New Roman"/>
          <w:i/>
          <w:iCs/>
          <w:sz w:val="24"/>
          <w:szCs w:val="24"/>
        </w:rPr>
        <w:t>health sciences research</w:t>
      </w:r>
      <w:r w:rsidRPr="00E60FAD">
        <w:rPr>
          <w:rFonts w:ascii="Times New Roman" w:hAnsi="Times New Roman" w:cs="Times New Roman"/>
          <w:sz w:val="24"/>
          <w:szCs w:val="24"/>
        </w:rPr>
        <w:t>, </w:t>
      </w:r>
      <w:r w:rsidRPr="00E60FAD">
        <w:rPr>
          <w:rFonts w:ascii="Times New Roman" w:hAnsi="Times New Roman" w:cs="Times New Roman"/>
          <w:i/>
          <w:iCs/>
          <w:sz w:val="24"/>
          <w:szCs w:val="24"/>
        </w:rPr>
        <w:t>6</w:t>
      </w:r>
      <w:r w:rsidRPr="00E60FAD">
        <w:rPr>
          <w:rFonts w:ascii="Times New Roman" w:hAnsi="Times New Roman" w:cs="Times New Roman"/>
          <w:sz w:val="24"/>
          <w:szCs w:val="24"/>
        </w:rPr>
        <w:t>(2), 71–73. https://doi.org/10.4103/2141-9248.181841</w:t>
      </w:r>
    </w:p>
    <w:p w:rsidR="00EE04AD" w:rsidRDefault="00EE04AD" w:rsidP="00921A2C">
      <w:pPr>
        <w:spacing w:line="480" w:lineRule="auto"/>
        <w:rPr>
          <w:rFonts w:ascii="Times New Roman" w:hAnsi="Times New Roman" w:cs="Times New Roman"/>
          <w:sz w:val="24"/>
          <w:szCs w:val="24"/>
        </w:rPr>
      </w:pPr>
    </w:p>
    <w:p w:rsidR="00EE04AD" w:rsidRDefault="00EE04AD" w:rsidP="00921A2C">
      <w:pPr>
        <w:spacing w:line="480" w:lineRule="auto"/>
        <w:rPr>
          <w:rFonts w:ascii="Times New Roman" w:hAnsi="Times New Roman" w:cs="Times New Roman"/>
          <w:sz w:val="24"/>
          <w:szCs w:val="24"/>
        </w:rPr>
      </w:pPr>
    </w:p>
    <w:p w:rsidR="00EE04AD" w:rsidRDefault="00EE04AD" w:rsidP="00921A2C">
      <w:pPr>
        <w:spacing w:line="480" w:lineRule="auto"/>
        <w:rPr>
          <w:rFonts w:ascii="Times New Roman" w:hAnsi="Times New Roman" w:cs="Times New Roman"/>
          <w:sz w:val="24"/>
          <w:szCs w:val="24"/>
        </w:rPr>
      </w:pPr>
    </w:p>
    <w:p w:rsidR="00EE04AD" w:rsidRDefault="00EE04AD" w:rsidP="00921A2C">
      <w:pPr>
        <w:spacing w:line="480" w:lineRule="auto"/>
        <w:rPr>
          <w:rFonts w:ascii="Times New Roman" w:hAnsi="Times New Roman" w:cs="Times New Roman"/>
          <w:sz w:val="24"/>
          <w:szCs w:val="24"/>
        </w:rPr>
      </w:pPr>
    </w:p>
    <w:p w:rsidR="00EE04AD" w:rsidRDefault="00EE04AD" w:rsidP="00921A2C">
      <w:pPr>
        <w:spacing w:line="480" w:lineRule="auto"/>
        <w:rPr>
          <w:rFonts w:ascii="Times New Roman" w:hAnsi="Times New Roman" w:cs="Times New Roman"/>
          <w:sz w:val="24"/>
          <w:szCs w:val="24"/>
        </w:rPr>
      </w:pPr>
    </w:p>
    <w:p w:rsidR="00EE04AD" w:rsidRDefault="00EE04AD" w:rsidP="00921A2C">
      <w:pPr>
        <w:spacing w:line="480" w:lineRule="auto"/>
        <w:rPr>
          <w:rFonts w:ascii="Times New Roman" w:hAnsi="Times New Roman" w:cs="Times New Roman"/>
          <w:sz w:val="24"/>
          <w:szCs w:val="24"/>
        </w:rPr>
      </w:pPr>
    </w:p>
    <w:p w:rsidR="00EE04AD" w:rsidRDefault="00EE04AD" w:rsidP="00921A2C">
      <w:pPr>
        <w:spacing w:line="480" w:lineRule="auto"/>
        <w:rPr>
          <w:rFonts w:ascii="Times New Roman" w:hAnsi="Times New Roman" w:cs="Times New Roman"/>
          <w:sz w:val="24"/>
          <w:szCs w:val="24"/>
        </w:rPr>
      </w:pPr>
    </w:p>
    <w:p w:rsidR="00EE04AD" w:rsidRDefault="00EE04AD" w:rsidP="00921A2C">
      <w:pPr>
        <w:spacing w:line="480" w:lineRule="auto"/>
        <w:rPr>
          <w:rFonts w:ascii="Times New Roman" w:hAnsi="Times New Roman" w:cs="Times New Roman"/>
          <w:sz w:val="24"/>
          <w:szCs w:val="24"/>
        </w:rPr>
      </w:pPr>
    </w:p>
    <w:p w:rsidR="00EE04AD" w:rsidRDefault="00EE04AD" w:rsidP="00921A2C">
      <w:pPr>
        <w:spacing w:line="480" w:lineRule="auto"/>
        <w:rPr>
          <w:rFonts w:ascii="Times New Roman" w:hAnsi="Times New Roman" w:cs="Times New Roman"/>
          <w:sz w:val="24"/>
          <w:szCs w:val="24"/>
        </w:rPr>
      </w:pPr>
    </w:p>
    <w:p w:rsidR="00EE04AD" w:rsidRDefault="00EE04AD" w:rsidP="00921A2C">
      <w:pPr>
        <w:spacing w:line="480" w:lineRule="auto"/>
        <w:rPr>
          <w:rFonts w:ascii="Times New Roman" w:hAnsi="Times New Roman" w:cs="Times New Roman"/>
          <w:sz w:val="24"/>
          <w:szCs w:val="24"/>
        </w:rPr>
      </w:pPr>
    </w:p>
    <w:p w:rsidR="00EE04AD" w:rsidRDefault="00EE04AD" w:rsidP="00921A2C">
      <w:pPr>
        <w:spacing w:line="480" w:lineRule="auto"/>
        <w:rPr>
          <w:rFonts w:ascii="Times New Roman" w:hAnsi="Times New Roman" w:cs="Times New Roman"/>
          <w:sz w:val="24"/>
          <w:szCs w:val="24"/>
        </w:rPr>
      </w:pPr>
    </w:p>
    <w:p w:rsidR="00EE04AD" w:rsidRDefault="00EE04AD" w:rsidP="00921A2C">
      <w:pPr>
        <w:spacing w:line="480" w:lineRule="auto"/>
        <w:rPr>
          <w:rFonts w:ascii="Times New Roman" w:hAnsi="Times New Roman" w:cs="Times New Roman"/>
          <w:sz w:val="24"/>
          <w:szCs w:val="24"/>
        </w:rPr>
      </w:pPr>
    </w:p>
    <w:p w:rsidR="00EE04AD" w:rsidRDefault="00EE04AD" w:rsidP="00921A2C">
      <w:pPr>
        <w:spacing w:line="480" w:lineRule="auto"/>
        <w:rPr>
          <w:rFonts w:ascii="Times New Roman" w:hAnsi="Times New Roman" w:cs="Times New Roman"/>
          <w:sz w:val="24"/>
          <w:szCs w:val="24"/>
        </w:rPr>
      </w:pPr>
    </w:p>
    <w:p w:rsidR="00EE04AD" w:rsidRPr="000C1BBB" w:rsidRDefault="00EE04AD" w:rsidP="00921A2C">
      <w:pPr>
        <w:spacing w:line="480" w:lineRule="auto"/>
        <w:rPr>
          <w:rFonts w:ascii="Times New Roman" w:hAnsi="Times New Roman" w:cs="Times New Roman"/>
          <w:sz w:val="24"/>
          <w:szCs w:val="24"/>
        </w:rPr>
      </w:pPr>
    </w:p>
    <w:sectPr w:rsidR="00EE04AD" w:rsidRPr="000C1BBB" w:rsidSect="000C1BBB">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21527" w:rsidRDefault="00221527" w:rsidP="000C1BBB">
      <w:pPr>
        <w:spacing w:after="0" w:line="240" w:lineRule="auto"/>
      </w:pPr>
      <w:r>
        <w:separator/>
      </w:r>
    </w:p>
  </w:endnote>
  <w:endnote w:type="continuationSeparator" w:id="0">
    <w:p w:rsidR="00221527" w:rsidRDefault="00221527" w:rsidP="000C1BB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21527" w:rsidRDefault="00221527" w:rsidP="000C1BBB">
      <w:pPr>
        <w:spacing w:after="0" w:line="240" w:lineRule="auto"/>
      </w:pPr>
      <w:r>
        <w:separator/>
      </w:r>
    </w:p>
  </w:footnote>
  <w:footnote w:type="continuationSeparator" w:id="0">
    <w:p w:rsidR="00221527" w:rsidRDefault="00221527" w:rsidP="000C1BB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C1BBB" w:rsidRPr="000C1BBB" w:rsidRDefault="000C1BBB" w:rsidP="000C1BBB">
    <w:pPr>
      <w:pStyle w:val="Header"/>
      <w:spacing w:line="480" w:lineRule="auto"/>
      <w:rPr>
        <w:rFonts w:ascii="Times New Roman" w:hAnsi="Times New Roman" w:cs="Times New Roman"/>
        <w:sz w:val="24"/>
        <w:szCs w:val="24"/>
      </w:rPr>
    </w:pPr>
    <w:r w:rsidRPr="000C1BBB">
      <w:rPr>
        <w:rFonts w:ascii="Times New Roman" w:hAnsi="Times New Roman" w:cs="Times New Roman"/>
        <w:sz w:val="24"/>
        <w:szCs w:val="24"/>
      </w:rPr>
      <w:t xml:space="preserve">OPERATING BUDGET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sdt>
      <w:sdtPr>
        <w:rPr>
          <w:rFonts w:ascii="Times New Roman" w:hAnsi="Times New Roman" w:cs="Times New Roman"/>
          <w:sz w:val="24"/>
          <w:szCs w:val="24"/>
        </w:rPr>
        <w:id w:val="-1001506063"/>
        <w:docPartObj>
          <w:docPartGallery w:val="Page Numbers (Top of Page)"/>
          <w:docPartUnique/>
        </w:docPartObj>
      </w:sdtPr>
      <w:sdtEndPr>
        <w:rPr>
          <w:noProof/>
        </w:rPr>
      </w:sdtEndPr>
      <w:sdtContent>
        <w:r w:rsidRPr="000C1BBB">
          <w:rPr>
            <w:rFonts w:ascii="Times New Roman" w:hAnsi="Times New Roman" w:cs="Times New Roman"/>
            <w:sz w:val="24"/>
            <w:szCs w:val="24"/>
          </w:rPr>
          <w:fldChar w:fldCharType="begin"/>
        </w:r>
        <w:r w:rsidRPr="000C1BBB">
          <w:rPr>
            <w:rFonts w:ascii="Times New Roman" w:hAnsi="Times New Roman" w:cs="Times New Roman"/>
            <w:sz w:val="24"/>
            <w:szCs w:val="24"/>
          </w:rPr>
          <w:instrText xml:space="preserve"> PAGE   \* MERGEFORMAT </w:instrText>
        </w:r>
        <w:r w:rsidRPr="000C1BBB">
          <w:rPr>
            <w:rFonts w:ascii="Times New Roman" w:hAnsi="Times New Roman" w:cs="Times New Roman"/>
            <w:sz w:val="24"/>
            <w:szCs w:val="24"/>
          </w:rPr>
          <w:fldChar w:fldCharType="separate"/>
        </w:r>
        <w:r w:rsidR="00641340">
          <w:rPr>
            <w:rFonts w:ascii="Times New Roman" w:hAnsi="Times New Roman" w:cs="Times New Roman"/>
            <w:noProof/>
            <w:sz w:val="24"/>
            <w:szCs w:val="24"/>
          </w:rPr>
          <w:t>11</w:t>
        </w:r>
        <w:r w:rsidRPr="000C1BBB">
          <w:rPr>
            <w:rFonts w:ascii="Times New Roman" w:hAnsi="Times New Roman" w:cs="Times New Roman"/>
            <w:noProof/>
            <w:sz w:val="24"/>
            <w:szCs w:val="24"/>
          </w:rPr>
          <w:fldChar w:fldCharType="end"/>
        </w:r>
      </w:sdtContent>
    </w:sdt>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C1BBB" w:rsidRPr="000C1BBB" w:rsidRDefault="000C1BBB" w:rsidP="000C1BBB">
    <w:pPr>
      <w:pStyle w:val="Header"/>
      <w:spacing w:line="480" w:lineRule="auto"/>
      <w:rPr>
        <w:rFonts w:ascii="Times New Roman" w:hAnsi="Times New Roman" w:cs="Times New Roman"/>
        <w:sz w:val="24"/>
        <w:szCs w:val="24"/>
      </w:rPr>
    </w:pPr>
    <w:r w:rsidRPr="000C1BBB">
      <w:rPr>
        <w:rFonts w:ascii="Times New Roman" w:hAnsi="Times New Roman" w:cs="Times New Roman"/>
        <w:sz w:val="24"/>
        <w:szCs w:val="24"/>
      </w:rPr>
      <w:t>Running head: OPERATING BUGDET</w:t>
    </w:r>
    <w:r>
      <w:rPr>
        <w:rFonts w:ascii="Times New Roman" w:hAnsi="Times New Roman" w:cs="Times New Roman"/>
        <w:sz w:val="24"/>
        <w:szCs w:val="24"/>
      </w:rPr>
      <w:tab/>
    </w:r>
    <w:r>
      <w:rPr>
        <w:rFonts w:ascii="Times New Roman" w:hAnsi="Times New Roman" w:cs="Times New Roman"/>
        <w:sz w:val="24"/>
        <w:szCs w:val="24"/>
      </w:rPr>
      <w:tab/>
    </w:r>
    <w:r w:rsidRPr="000C1BBB">
      <w:rPr>
        <w:rFonts w:ascii="Times New Roman" w:hAnsi="Times New Roman" w:cs="Times New Roman"/>
        <w:sz w:val="24"/>
        <w:szCs w:val="24"/>
      </w:rPr>
      <w:t xml:space="preserve"> </w:t>
    </w:r>
    <w:sdt>
      <w:sdtPr>
        <w:rPr>
          <w:rFonts w:ascii="Times New Roman" w:hAnsi="Times New Roman" w:cs="Times New Roman"/>
          <w:sz w:val="24"/>
          <w:szCs w:val="24"/>
        </w:rPr>
        <w:id w:val="761181814"/>
        <w:docPartObj>
          <w:docPartGallery w:val="Page Numbers (Top of Page)"/>
          <w:docPartUnique/>
        </w:docPartObj>
      </w:sdtPr>
      <w:sdtEndPr>
        <w:rPr>
          <w:noProof/>
        </w:rPr>
      </w:sdtEndPr>
      <w:sdtContent>
        <w:r w:rsidRPr="000C1BBB">
          <w:rPr>
            <w:rFonts w:ascii="Times New Roman" w:hAnsi="Times New Roman" w:cs="Times New Roman"/>
            <w:sz w:val="24"/>
            <w:szCs w:val="24"/>
          </w:rPr>
          <w:fldChar w:fldCharType="begin"/>
        </w:r>
        <w:r w:rsidRPr="000C1BBB">
          <w:rPr>
            <w:rFonts w:ascii="Times New Roman" w:hAnsi="Times New Roman" w:cs="Times New Roman"/>
            <w:sz w:val="24"/>
            <w:szCs w:val="24"/>
          </w:rPr>
          <w:instrText xml:space="preserve"> PAGE   \* MERGEFORMAT </w:instrText>
        </w:r>
        <w:r w:rsidRPr="000C1BBB">
          <w:rPr>
            <w:rFonts w:ascii="Times New Roman" w:hAnsi="Times New Roman" w:cs="Times New Roman"/>
            <w:sz w:val="24"/>
            <w:szCs w:val="24"/>
          </w:rPr>
          <w:fldChar w:fldCharType="separate"/>
        </w:r>
        <w:r w:rsidR="00641340">
          <w:rPr>
            <w:rFonts w:ascii="Times New Roman" w:hAnsi="Times New Roman" w:cs="Times New Roman"/>
            <w:noProof/>
            <w:sz w:val="24"/>
            <w:szCs w:val="24"/>
          </w:rPr>
          <w:t>1</w:t>
        </w:r>
        <w:r w:rsidRPr="000C1BBB">
          <w:rPr>
            <w:rFonts w:ascii="Times New Roman" w:hAnsi="Times New Roman" w:cs="Times New Roman"/>
            <w:noProof/>
            <w:sz w:val="24"/>
            <w:szCs w:val="24"/>
          </w:rPr>
          <w:fldChar w:fldCharType="end"/>
        </w:r>
      </w:sdtContent>
    </w:sdt>
  </w:p>
  <w:p w:rsidR="000C1BBB" w:rsidRDefault="000C1BBB">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C1BBB"/>
    <w:rsid w:val="000A667B"/>
    <w:rsid w:val="000C1BBB"/>
    <w:rsid w:val="0015163C"/>
    <w:rsid w:val="001B4F0A"/>
    <w:rsid w:val="00221527"/>
    <w:rsid w:val="003033DD"/>
    <w:rsid w:val="00371F7B"/>
    <w:rsid w:val="00393A12"/>
    <w:rsid w:val="00454EFF"/>
    <w:rsid w:val="00581386"/>
    <w:rsid w:val="005C42FE"/>
    <w:rsid w:val="005D5AB4"/>
    <w:rsid w:val="00641340"/>
    <w:rsid w:val="00685B9F"/>
    <w:rsid w:val="006E4AB7"/>
    <w:rsid w:val="0071669E"/>
    <w:rsid w:val="007537EE"/>
    <w:rsid w:val="007C60CA"/>
    <w:rsid w:val="00887FC0"/>
    <w:rsid w:val="00921A2C"/>
    <w:rsid w:val="0094593C"/>
    <w:rsid w:val="009A1CEA"/>
    <w:rsid w:val="009E7178"/>
    <w:rsid w:val="009E73E2"/>
    <w:rsid w:val="00BF3D9F"/>
    <w:rsid w:val="00C10B4E"/>
    <w:rsid w:val="00D53C8F"/>
    <w:rsid w:val="00E421BF"/>
    <w:rsid w:val="00E60FAD"/>
    <w:rsid w:val="00EC0C03"/>
    <w:rsid w:val="00EE04A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C606A226-80BB-4F39-9B72-FD3E10C8A3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C1BBB"/>
    <w:pPr>
      <w:tabs>
        <w:tab w:val="center" w:pos="4680"/>
        <w:tab w:val="right" w:pos="9360"/>
      </w:tabs>
      <w:spacing w:after="0" w:line="240" w:lineRule="auto"/>
    </w:pPr>
  </w:style>
  <w:style w:type="character" w:customStyle="1" w:styleId="HeaderChar">
    <w:name w:val="Header Char"/>
    <w:basedOn w:val="DefaultParagraphFont"/>
    <w:link w:val="Header"/>
    <w:uiPriority w:val="99"/>
    <w:rsid w:val="000C1BBB"/>
  </w:style>
  <w:style w:type="paragraph" w:styleId="Footer">
    <w:name w:val="footer"/>
    <w:basedOn w:val="Normal"/>
    <w:link w:val="FooterChar"/>
    <w:uiPriority w:val="99"/>
    <w:unhideWhenUsed/>
    <w:rsid w:val="000C1BBB"/>
    <w:pPr>
      <w:tabs>
        <w:tab w:val="center" w:pos="4680"/>
        <w:tab w:val="right" w:pos="9360"/>
      </w:tabs>
      <w:spacing w:after="0" w:line="240" w:lineRule="auto"/>
    </w:pPr>
  </w:style>
  <w:style w:type="character" w:customStyle="1" w:styleId="FooterChar">
    <w:name w:val="Footer Char"/>
    <w:basedOn w:val="DefaultParagraphFont"/>
    <w:link w:val="Footer"/>
    <w:uiPriority w:val="99"/>
    <w:rsid w:val="000C1BBB"/>
  </w:style>
  <w:style w:type="table" w:styleId="TableGrid">
    <w:name w:val="Table Grid"/>
    <w:basedOn w:val="TableNormal"/>
    <w:uiPriority w:val="59"/>
    <w:rsid w:val="00921A2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E60FAD"/>
    <w:rPr>
      <w:color w:val="0000FF" w:themeColor="hyperlink"/>
      <w:u w:val="single"/>
    </w:rPr>
  </w:style>
  <w:style w:type="paragraph" w:styleId="NormalWeb">
    <w:name w:val="Normal (Web)"/>
    <w:basedOn w:val="Normal"/>
    <w:uiPriority w:val="99"/>
    <w:semiHidden/>
    <w:unhideWhenUsed/>
    <w:rsid w:val="00581386"/>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95655335">
      <w:bodyDiv w:val="1"/>
      <w:marLeft w:val="0"/>
      <w:marRight w:val="0"/>
      <w:marTop w:val="0"/>
      <w:marBottom w:val="0"/>
      <w:divBdr>
        <w:top w:val="none" w:sz="0" w:space="0" w:color="auto"/>
        <w:left w:val="none" w:sz="0" w:space="0" w:color="auto"/>
        <w:bottom w:val="none" w:sz="0" w:space="0" w:color="auto"/>
        <w:right w:val="none" w:sz="0" w:space="0" w:color="auto"/>
      </w:divBdr>
    </w:div>
    <w:div w:id="1338733191">
      <w:bodyDiv w:val="1"/>
      <w:marLeft w:val="0"/>
      <w:marRight w:val="0"/>
      <w:marTop w:val="0"/>
      <w:marBottom w:val="0"/>
      <w:divBdr>
        <w:top w:val="none" w:sz="0" w:space="0" w:color="auto"/>
        <w:left w:val="none" w:sz="0" w:space="0" w:color="auto"/>
        <w:bottom w:val="none" w:sz="0" w:space="0" w:color="auto"/>
        <w:right w:val="none" w:sz="0" w:space="0" w:color="auto"/>
      </w:divBdr>
    </w:div>
    <w:div w:id="17155466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hyperlink" Target="https://www.researchgate.net/publication/281280584_A_BUDGET_PLANNING_MODEL_FOR_HEALTH_CARE_CLINICS"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doi.org/10.1097/01.numa.0000347410.73201.4b" TargetMode="Externa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Pages>
  <Words>2337</Words>
  <Characters>13325</Characters>
  <Application>Microsoft Office Word</Application>
  <DocSecurity>0</DocSecurity>
  <Lines>111</Lines>
  <Paragraphs>31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15631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jitender sukhwinder</cp:lastModifiedBy>
  <cp:revision>6</cp:revision>
  <dcterms:created xsi:type="dcterms:W3CDTF">2020-06-19T15:34:00Z</dcterms:created>
  <dcterms:modified xsi:type="dcterms:W3CDTF">2020-06-19T15:37:00Z</dcterms:modified>
</cp:coreProperties>
</file>