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95A" w:rsidRPr="00A973EA" w:rsidRDefault="00351964" w:rsidP="00B12DB7">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A20505" w:rsidRDefault="00A20505"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This study focuses on factors that determine the price of a house. These factors include the size of the land that the house sits in, the size of the house, size of the living room in the house and the number of bedrooms. Considering all these factors as the explanatory variables, I think that my explanatory variables explain the variation in the dependent variable, price. This is because, an increase in the land size, size of the house, size of the living room in the house and number of bedrooms always causes the price of a house to increase. Also, a decrease in any of these factors causes the price of the house to decrease.</w:t>
      </w:r>
    </w:p>
    <w:p w:rsidR="007B1569" w:rsidRPr="007B1569" w:rsidRDefault="007B1569" w:rsidP="007B1569">
      <w:pPr>
        <w:spacing w:line="480" w:lineRule="auto"/>
        <w:jc w:val="both"/>
        <w:rPr>
          <w:rFonts w:ascii="Times New Roman" w:hAnsi="Times New Roman" w:cs="Times New Roman"/>
          <w:b/>
          <w:sz w:val="24"/>
          <w:szCs w:val="24"/>
        </w:rPr>
      </w:pPr>
      <w:r w:rsidRPr="007B1569">
        <w:rPr>
          <w:rFonts w:ascii="Times New Roman" w:hAnsi="Times New Roman" w:cs="Times New Roman"/>
          <w:b/>
          <w:sz w:val="24"/>
          <w:szCs w:val="24"/>
        </w:rPr>
        <w:t>DESCRIPTION OF VARIABLES</w:t>
      </w:r>
    </w:p>
    <w:p w:rsidR="007B1569" w:rsidRPr="00B12DB7" w:rsidRDefault="007B1569" w:rsidP="00B12DB7">
      <w:pPr>
        <w:spacing w:line="480" w:lineRule="auto"/>
        <w:jc w:val="both"/>
        <w:rPr>
          <w:rFonts w:ascii="Times New Roman" w:hAnsi="Times New Roman" w:cs="Times New Roman"/>
          <w:sz w:val="24"/>
          <w:szCs w:val="24"/>
        </w:rPr>
      </w:pPr>
      <w:r w:rsidRPr="007B1569">
        <w:rPr>
          <w:rFonts w:ascii="Times New Roman" w:hAnsi="Times New Roman" w:cs="Times New Roman"/>
          <w:sz w:val="24"/>
          <w:szCs w:val="24"/>
        </w:rPr>
        <w:t>From the housing dataset, the price of a house depends on size of the house, size of the living room in the house, number of bedrooms and the size of the land that the house is in. This implies that price is the dependent variable with house size, living</w:t>
      </w:r>
      <w:r w:rsidR="00634A3F">
        <w:rPr>
          <w:rFonts w:ascii="Times New Roman" w:hAnsi="Times New Roman" w:cs="Times New Roman"/>
          <w:sz w:val="24"/>
          <w:szCs w:val="24"/>
        </w:rPr>
        <w:t xml:space="preserve"> space</w:t>
      </w:r>
      <w:r w:rsidRPr="007B1569">
        <w:rPr>
          <w:rFonts w:ascii="Times New Roman" w:hAnsi="Times New Roman" w:cs="Times New Roman"/>
          <w:sz w:val="24"/>
          <w:szCs w:val="24"/>
        </w:rPr>
        <w:t xml:space="preserve"> size, number of bedrooms and size of land as the explanatory variables. The price of the houses is in thousands of dollars, house size and living </w:t>
      </w:r>
      <w:r w:rsidR="00634A3F">
        <w:rPr>
          <w:rFonts w:ascii="Times New Roman" w:hAnsi="Times New Roman" w:cs="Times New Roman"/>
          <w:sz w:val="24"/>
          <w:szCs w:val="24"/>
        </w:rPr>
        <w:t>space</w:t>
      </w:r>
      <w:r w:rsidRPr="007B1569">
        <w:rPr>
          <w:rFonts w:ascii="Times New Roman" w:hAnsi="Times New Roman" w:cs="Times New Roman"/>
          <w:sz w:val="24"/>
          <w:szCs w:val="24"/>
        </w:rPr>
        <w:t xml:space="preserve"> size are measured in square feet, land size is measured in square meters and the number of bedrooms is a real number.</w:t>
      </w:r>
    </w:p>
    <w:p w:rsidR="00A20505" w:rsidRPr="00A973EA" w:rsidRDefault="00A973EA" w:rsidP="00B12DB7">
      <w:pPr>
        <w:spacing w:line="480" w:lineRule="auto"/>
        <w:jc w:val="both"/>
        <w:rPr>
          <w:rFonts w:ascii="Times New Roman" w:hAnsi="Times New Roman" w:cs="Times New Roman"/>
          <w:b/>
          <w:sz w:val="24"/>
          <w:szCs w:val="24"/>
        </w:rPr>
      </w:pPr>
      <w:r w:rsidRPr="00A973EA">
        <w:rPr>
          <w:rFonts w:ascii="Times New Roman" w:hAnsi="Times New Roman" w:cs="Times New Roman"/>
          <w:b/>
          <w:sz w:val="24"/>
          <w:szCs w:val="24"/>
        </w:rPr>
        <w:t>SUMMARY STATISTICS</w:t>
      </w:r>
    </w:p>
    <w:p w:rsidR="00214298" w:rsidRPr="00B12DB7" w:rsidRDefault="00214298"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summary statistics are as presented in the table below;</w:t>
      </w:r>
    </w:p>
    <w:tbl>
      <w:tblPr>
        <w:tblW w:w="9034" w:type="dxa"/>
        <w:tblLook w:val="04A0" w:firstRow="1" w:lastRow="0" w:firstColumn="1" w:lastColumn="0" w:noHBand="0" w:noVBand="1"/>
      </w:tblPr>
      <w:tblGrid>
        <w:gridCol w:w="1860"/>
        <w:gridCol w:w="1496"/>
        <w:gridCol w:w="1476"/>
        <w:gridCol w:w="1610"/>
        <w:gridCol w:w="1116"/>
        <w:gridCol w:w="1476"/>
      </w:tblGrid>
      <w:tr w:rsidR="00214298" w:rsidRPr="00214298" w:rsidTr="00E15726">
        <w:trPr>
          <w:trHeight w:val="300"/>
        </w:trPr>
        <w:tc>
          <w:tcPr>
            <w:tcW w:w="1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STATISTIC</w:t>
            </w:r>
          </w:p>
        </w:tc>
        <w:tc>
          <w:tcPr>
            <w:tcW w:w="1496" w:type="dxa"/>
            <w:tcBorders>
              <w:top w:val="single" w:sz="4" w:space="0" w:color="auto"/>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PRICE(‘000)</w:t>
            </w:r>
          </w:p>
        </w:tc>
        <w:tc>
          <w:tcPr>
            <w:tcW w:w="1476" w:type="dxa"/>
            <w:tcBorders>
              <w:top w:val="single" w:sz="4" w:space="0" w:color="auto"/>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SQRFT</w:t>
            </w:r>
          </w:p>
        </w:tc>
        <w:tc>
          <w:tcPr>
            <w:tcW w:w="1610" w:type="dxa"/>
            <w:tcBorders>
              <w:top w:val="single" w:sz="4" w:space="0" w:color="auto"/>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SIZE.LIVING</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BDRMS</w:t>
            </w:r>
          </w:p>
        </w:tc>
        <w:tc>
          <w:tcPr>
            <w:tcW w:w="1476" w:type="dxa"/>
            <w:tcBorders>
              <w:top w:val="single" w:sz="4" w:space="0" w:color="auto"/>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LOTSIZE</w:t>
            </w:r>
          </w:p>
        </w:tc>
      </w:tr>
      <w:tr w:rsidR="00214298" w:rsidRPr="00214298" w:rsidTr="00E15726">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Mean</w:t>
            </w:r>
          </w:p>
        </w:tc>
        <w:tc>
          <w:tcPr>
            <w:tcW w:w="149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293.5</w:t>
            </w:r>
          </w:p>
        </w:tc>
        <w:tc>
          <w:tcPr>
            <w:tcW w:w="147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2013.693182</w:t>
            </w:r>
          </w:p>
        </w:tc>
        <w:tc>
          <w:tcPr>
            <w:tcW w:w="161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315.7409091</w:t>
            </w:r>
          </w:p>
        </w:tc>
        <w:tc>
          <w:tcPr>
            <w:tcW w:w="111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3.568182</w:t>
            </w:r>
          </w:p>
        </w:tc>
        <w:tc>
          <w:tcPr>
            <w:tcW w:w="147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9019.863636</w:t>
            </w:r>
          </w:p>
        </w:tc>
      </w:tr>
      <w:tr w:rsidR="00214298" w:rsidRPr="00214298" w:rsidTr="00E15726">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Standard Error</w:t>
            </w:r>
          </w:p>
        </w:tc>
        <w:tc>
          <w:tcPr>
            <w:tcW w:w="149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10.94460976</w:t>
            </w:r>
          </w:p>
        </w:tc>
        <w:tc>
          <w:tcPr>
            <w:tcW w:w="147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61.52882946</w:t>
            </w:r>
          </w:p>
        </w:tc>
        <w:tc>
          <w:tcPr>
            <w:tcW w:w="161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10.16157923</w:t>
            </w:r>
          </w:p>
        </w:tc>
        <w:tc>
          <w:tcPr>
            <w:tcW w:w="111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0.089693</w:t>
            </w:r>
          </w:p>
        </w:tc>
        <w:tc>
          <w:tcPr>
            <w:tcW w:w="147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1084.568078</w:t>
            </w:r>
          </w:p>
        </w:tc>
      </w:tr>
      <w:tr w:rsidR="00214298" w:rsidRPr="00214298" w:rsidTr="00E15726">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Standard Deviation</w:t>
            </w:r>
          </w:p>
        </w:tc>
        <w:tc>
          <w:tcPr>
            <w:tcW w:w="149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102.6695402</w:t>
            </w:r>
          </w:p>
        </w:tc>
        <w:tc>
          <w:tcPr>
            <w:tcW w:w="147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577.1915827</w:t>
            </w:r>
          </w:p>
        </w:tc>
        <w:tc>
          <w:tcPr>
            <w:tcW w:w="161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95.32406269</w:t>
            </w:r>
          </w:p>
        </w:tc>
        <w:tc>
          <w:tcPr>
            <w:tcW w:w="111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0.841393</w:t>
            </w:r>
          </w:p>
        </w:tc>
        <w:tc>
          <w:tcPr>
            <w:tcW w:w="147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10174.15041</w:t>
            </w:r>
          </w:p>
        </w:tc>
      </w:tr>
      <w:tr w:rsidR="00214298" w:rsidRPr="00214298" w:rsidTr="00E15726">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Count</w:t>
            </w:r>
          </w:p>
        </w:tc>
        <w:tc>
          <w:tcPr>
            <w:tcW w:w="149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88</w:t>
            </w:r>
          </w:p>
        </w:tc>
        <w:tc>
          <w:tcPr>
            <w:tcW w:w="147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88</w:t>
            </w:r>
          </w:p>
        </w:tc>
        <w:tc>
          <w:tcPr>
            <w:tcW w:w="161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88</w:t>
            </w:r>
          </w:p>
        </w:tc>
        <w:tc>
          <w:tcPr>
            <w:tcW w:w="111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88</w:t>
            </w:r>
          </w:p>
        </w:tc>
        <w:tc>
          <w:tcPr>
            <w:tcW w:w="1476"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88</w:t>
            </w:r>
          </w:p>
        </w:tc>
      </w:tr>
    </w:tbl>
    <w:p w:rsidR="00A20505" w:rsidRPr="00B12DB7" w:rsidRDefault="00A855A4" w:rsidP="00B12DB7">
      <w:pPr>
        <w:spacing w:line="276" w:lineRule="auto"/>
        <w:jc w:val="both"/>
        <w:rPr>
          <w:rFonts w:ascii="Times New Roman" w:hAnsi="Times New Roman" w:cs="Times New Roman"/>
          <w:i/>
          <w:sz w:val="24"/>
          <w:szCs w:val="24"/>
        </w:rPr>
      </w:pPr>
      <w:r w:rsidRPr="00B12DB7">
        <w:rPr>
          <w:rFonts w:ascii="Times New Roman" w:hAnsi="Times New Roman" w:cs="Times New Roman"/>
          <w:i/>
          <w:sz w:val="24"/>
          <w:szCs w:val="24"/>
        </w:rPr>
        <w:t>Table 1. Summary statistics</w:t>
      </w:r>
    </w:p>
    <w:p w:rsidR="00E15726" w:rsidRPr="00B81A92" w:rsidRDefault="00E15726" w:rsidP="00B321B6">
      <w:pPr>
        <w:spacing w:line="480" w:lineRule="auto"/>
        <w:jc w:val="both"/>
        <w:rPr>
          <w:rFonts w:ascii="Times New Roman" w:hAnsi="Times New Roman" w:cs="Times New Roman"/>
          <w:sz w:val="24"/>
          <w:szCs w:val="24"/>
        </w:rPr>
      </w:pPr>
      <w:r w:rsidRPr="00B81A92">
        <w:rPr>
          <w:rFonts w:ascii="Times New Roman" w:hAnsi="Times New Roman" w:cs="Times New Roman"/>
          <w:sz w:val="24"/>
          <w:szCs w:val="24"/>
        </w:rPr>
        <w:lastRenderedPageBreak/>
        <w:t>In the above descriptive analysis, sa</w:t>
      </w:r>
      <w:r>
        <w:rPr>
          <w:rFonts w:ascii="Times New Roman" w:hAnsi="Times New Roman" w:cs="Times New Roman"/>
          <w:sz w:val="24"/>
          <w:szCs w:val="24"/>
        </w:rPr>
        <w:t>mple size of each variable is 88</w:t>
      </w:r>
      <w:r w:rsidRPr="00B81A92">
        <w:rPr>
          <w:rFonts w:ascii="Times New Roman" w:hAnsi="Times New Roman" w:cs="Times New Roman"/>
          <w:sz w:val="24"/>
          <w:szCs w:val="24"/>
        </w:rPr>
        <w:t xml:space="preserve"> thus no missing value exists. For variables </w:t>
      </w:r>
      <w:r>
        <w:rPr>
          <w:rFonts w:ascii="Times New Roman" w:hAnsi="Times New Roman" w:cs="Times New Roman"/>
          <w:sz w:val="24"/>
          <w:szCs w:val="24"/>
        </w:rPr>
        <w:t xml:space="preserve">“price(‘000), “sqrft”, “size.living” and “lotsize”, </w:t>
      </w:r>
      <w:r w:rsidRPr="00B81A92">
        <w:rPr>
          <w:rFonts w:ascii="Times New Roman" w:hAnsi="Times New Roman" w:cs="Times New Roman"/>
          <w:sz w:val="24"/>
          <w:szCs w:val="24"/>
        </w:rPr>
        <w:t xml:space="preserve">their standard deviations are </w:t>
      </w:r>
      <w:r>
        <w:rPr>
          <w:rFonts w:ascii="Times New Roman" w:hAnsi="Times New Roman" w:cs="Times New Roman"/>
          <w:sz w:val="24"/>
          <w:szCs w:val="24"/>
        </w:rPr>
        <w:t>102.67, 577.192, 95.324 and 10174.15</w:t>
      </w:r>
      <w:r w:rsidRPr="00B81A92">
        <w:rPr>
          <w:rFonts w:ascii="Times New Roman" w:hAnsi="Times New Roman" w:cs="Times New Roman"/>
          <w:sz w:val="24"/>
          <w:szCs w:val="24"/>
        </w:rPr>
        <w:t xml:space="preserve"> respectively. These values are too high which means the</w:t>
      </w:r>
      <w:r>
        <w:rPr>
          <w:rFonts w:ascii="Times New Roman" w:hAnsi="Times New Roman" w:cs="Times New Roman"/>
          <w:sz w:val="24"/>
          <w:szCs w:val="24"/>
        </w:rPr>
        <w:t xml:space="preserve"> difference among the regions covered in the study</w:t>
      </w:r>
      <w:r w:rsidRPr="00B81A92">
        <w:rPr>
          <w:rFonts w:ascii="Times New Roman" w:hAnsi="Times New Roman" w:cs="Times New Roman"/>
          <w:sz w:val="24"/>
          <w:szCs w:val="24"/>
        </w:rPr>
        <w:t xml:space="preserve"> are relativ</w:t>
      </w:r>
      <w:r>
        <w:rPr>
          <w:rFonts w:ascii="Times New Roman" w:hAnsi="Times New Roman" w:cs="Times New Roman"/>
          <w:sz w:val="24"/>
          <w:szCs w:val="24"/>
        </w:rPr>
        <w:t>ely large for these 4</w:t>
      </w:r>
      <w:r w:rsidRPr="00B81A92">
        <w:rPr>
          <w:rFonts w:ascii="Times New Roman" w:hAnsi="Times New Roman" w:cs="Times New Roman"/>
          <w:sz w:val="24"/>
          <w:szCs w:val="24"/>
        </w:rPr>
        <w:t xml:space="preserve"> variables. While the standard deviation</w:t>
      </w:r>
      <w:r>
        <w:rPr>
          <w:rFonts w:ascii="Times New Roman" w:hAnsi="Times New Roman" w:cs="Times New Roman"/>
          <w:sz w:val="24"/>
          <w:szCs w:val="24"/>
        </w:rPr>
        <w:t xml:space="preserve"> of “bdrms” is 0.8414. This is relatively low</w:t>
      </w:r>
      <w:r w:rsidRPr="00B81A92">
        <w:rPr>
          <w:rFonts w:ascii="Times New Roman" w:hAnsi="Times New Roman" w:cs="Times New Roman"/>
          <w:sz w:val="24"/>
          <w:szCs w:val="24"/>
        </w:rPr>
        <w:t xml:space="preserve"> whi</w:t>
      </w:r>
      <w:r>
        <w:rPr>
          <w:rFonts w:ascii="Times New Roman" w:hAnsi="Times New Roman" w:cs="Times New Roman"/>
          <w:sz w:val="24"/>
          <w:szCs w:val="24"/>
        </w:rPr>
        <w:t>ch means the difference among the regions covered in the study</w:t>
      </w:r>
      <w:r w:rsidR="00B321B6">
        <w:rPr>
          <w:rFonts w:ascii="Times New Roman" w:hAnsi="Times New Roman" w:cs="Times New Roman"/>
          <w:sz w:val="24"/>
          <w:szCs w:val="24"/>
        </w:rPr>
        <w:t xml:space="preserve"> for this variable is</w:t>
      </w:r>
      <w:r w:rsidRPr="00B81A92">
        <w:rPr>
          <w:rFonts w:ascii="Times New Roman" w:hAnsi="Times New Roman" w:cs="Times New Roman"/>
          <w:sz w:val="24"/>
          <w:szCs w:val="24"/>
        </w:rPr>
        <w:t xml:space="preserve"> relatively small.</w:t>
      </w:r>
    </w:p>
    <w:p w:rsidR="003C6511" w:rsidRPr="00C61378" w:rsidRDefault="0046441C" w:rsidP="00B12DB7">
      <w:pPr>
        <w:spacing w:line="480" w:lineRule="auto"/>
        <w:jc w:val="both"/>
        <w:rPr>
          <w:rFonts w:ascii="Times New Roman" w:hAnsi="Times New Roman" w:cs="Times New Roman"/>
          <w:b/>
          <w:sz w:val="24"/>
          <w:szCs w:val="24"/>
        </w:rPr>
      </w:pPr>
      <w:r w:rsidRPr="00A973EA">
        <w:rPr>
          <w:rFonts w:ascii="Times New Roman" w:hAnsi="Times New Roman" w:cs="Times New Roman"/>
          <w:b/>
          <w:sz w:val="24"/>
          <w:szCs w:val="24"/>
        </w:rPr>
        <w:t>CORRELATION ANALYSIS</w:t>
      </w:r>
    </w:p>
    <w:p w:rsidR="0046441C" w:rsidRPr="00B12DB7" w:rsidRDefault="003C6511" w:rsidP="00B12DB7">
      <w:pPr>
        <w:spacing w:line="480" w:lineRule="auto"/>
        <w:jc w:val="both"/>
        <w:rPr>
          <w:rFonts w:ascii="Times New Roman" w:hAnsi="Times New Roman" w:cs="Times New Roman"/>
          <w:sz w:val="24"/>
          <w:szCs w:val="24"/>
        </w:rPr>
      </w:pPr>
      <w:r w:rsidRPr="00B12DB7">
        <w:rPr>
          <w:rFonts w:ascii="Times New Roman" w:hAnsi="Times New Roman" w:cs="Times New Roman"/>
          <w:noProof/>
          <w:sz w:val="24"/>
          <w:szCs w:val="24"/>
        </w:rPr>
        <w:drawing>
          <wp:inline distT="0" distB="0" distL="0" distR="0" wp14:anchorId="5CADCE47" wp14:editId="69D81B74">
            <wp:extent cx="3508513" cy="2037521"/>
            <wp:effectExtent l="0" t="0" r="15875" b="12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Figure 1. Scatter plot of price vs size of the house</w:t>
      </w:r>
    </w:p>
    <w:p w:rsidR="003C6511" w:rsidRPr="00C61378" w:rsidRDefault="009B57BC"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From the scatterplot above, it shows a strong positive correlation between price and size of the house.</w:t>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noProof/>
          <w:sz w:val="24"/>
          <w:szCs w:val="24"/>
        </w:rPr>
        <w:lastRenderedPageBreak/>
        <w:drawing>
          <wp:inline distT="0" distB="0" distL="0" distR="0" wp14:anchorId="0341D845" wp14:editId="31B2137B">
            <wp:extent cx="3495675" cy="20097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Figure 2. Scatterplot of price vs size of living room</w:t>
      </w:r>
    </w:p>
    <w:p w:rsidR="003C6511" w:rsidRPr="00C61378" w:rsidRDefault="009B57BC"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From the scatterplot above, there is a strong positive correlation between price and size of living room of a house.</w:t>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noProof/>
          <w:sz w:val="24"/>
          <w:szCs w:val="24"/>
        </w:rPr>
        <w:drawing>
          <wp:inline distT="0" distB="0" distL="0" distR="0" wp14:anchorId="36E4B35F" wp14:editId="750CF879">
            <wp:extent cx="3962400" cy="22669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Figure 3. scatterplot of price vs number of bedrooms</w:t>
      </w:r>
    </w:p>
    <w:p w:rsidR="003C6511" w:rsidRPr="00C61378" w:rsidRDefault="009B57BC"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scatterplot above indicates moderate positive correlation between price and the number of bedrooms in a house.</w:t>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noProof/>
          <w:sz w:val="24"/>
          <w:szCs w:val="24"/>
        </w:rPr>
        <w:lastRenderedPageBreak/>
        <w:drawing>
          <wp:inline distT="0" distB="0" distL="0" distR="0" wp14:anchorId="2E4C789A" wp14:editId="21421621">
            <wp:extent cx="3810000" cy="21907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 xml:space="preserve">Figure 4. scatterplot of price vs land size </w:t>
      </w:r>
    </w:p>
    <w:p w:rsidR="009B57BC" w:rsidRPr="00B12DB7" w:rsidRDefault="009B57BC"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sc</w:t>
      </w:r>
      <w:r w:rsidR="005B4C47" w:rsidRPr="00B12DB7">
        <w:rPr>
          <w:rFonts w:ascii="Times New Roman" w:hAnsi="Times New Roman" w:cs="Times New Roman"/>
          <w:sz w:val="24"/>
          <w:szCs w:val="24"/>
        </w:rPr>
        <w:t>atterplot above shows a weak</w:t>
      </w:r>
      <w:r w:rsidRPr="00B12DB7">
        <w:rPr>
          <w:rFonts w:ascii="Times New Roman" w:hAnsi="Times New Roman" w:cs="Times New Roman"/>
          <w:sz w:val="24"/>
          <w:szCs w:val="24"/>
        </w:rPr>
        <w:t xml:space="preserve"> strong correlation bet</w:t>
      </w:r>
      <w:r w:rsidR="00014E06" w:rsidRPr="00B12DB7">
        <w:rPr>
          <w:rFonts w:ascii="Times New Roman" w:hAnsi="Times New Roman" w:cs="Times New Roman"/>
          <w:sz w:val="24"/>
          <w:szCs w:val="24"/>
        </w:rPr>
        <w:t>ween price of a house and the si</w:t>
      </w:r>
      <w:r w:rsidRPr="00B12DB7">
        <w:rPr>
          <w:rFonts w:ascii="Times New Roman" w:hAnsi="Times New Roman" w:cs="Times New Roman"/>
          <w:sz w:val="24"/>
          <w:szCs w:val="24"/>
        </w:rPr>
        <w:t>ze of land that the house sits in.</w:t>
      </w:r>
    </w:p>
    <w:p w:rsidR="009B57BC" w:rsidRPr="00B12DB7" w:rsidRDefault="009B57BC"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table below shows the c</w:t>
      </w:r>
      <w:r w:rsidR="00014E06" w:rsidRPr="00B12DB7">
        <w:rPr>
          <w:rFonts w:ascii="Times New Roman" w:hAnsi="Times New Roman" w:cs="Times New Roman"/>
          <w:sz w:val="24"/>
          <w:szCs w:val="24"/>
        </w:rPr>
        <w:t>orrelation analysis output.</w:t>
      </w:r>
    </w:p>
    <w:tbl>
      <w:tblPr>
        <w:tblStyle w:val="TableGrid"/>
        <w:tblW w:w="0" w:type="auto"/>
        <w:tblLook w:val="04A0" w:firstRow="1" w:lastRow="0" w:firstColumn="1" w:lastColumn="0" w:noHBand="0" w:noVBand="1"/>
      </w:tblPr>
      <w:tblGrid>
        <w:gridCol w:w="1610"/>
        <w:gridCol w:w="1460"/>
        <w:gridCol w:w="1116"/>
        <w:gridCol w:w="1610"/>
        <w:gridCol w:w="1116"/>
        <w:gridCol w:w="1190"/>
      </w:tblGrid>
      <w:tr w:rsidR="005B4C47" w:rsidRPr="00B12DB7" w:rsidTr="005B4C47">
        <w:trPr>
          <w:trHeight w:val="300"/>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 </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PRICE('000)</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SQRFT</w:t>
            </w: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SIZE.LIVING</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BDRMS</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LOTSIZE</w:t>
            </w:r>
          </w:p>
        </w:tc>
      </w:tr>
      <w:tr w:rsidR="005B4C47" w:rsidRPr="00B12DB7" w:rsidTr="005B4C47">
        <w:trPr>
          <w:trHeight w:val="300"/>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PRICE</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r>
      <w:tr w:rsidR="005B4C47" w:rsidRPr="00B12DB7" w:rsidTr="005B4C47">
        <w:trPr>
          <w:trHeight w:val="300"/>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SQRFT</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0.787801</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w:t>
            </w: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r>
      <w:tr w:rsidR="005B4C47" w:rsidRPr="00B12DB7" w:rsidTr="005B4C47">
        <w:trPr>
          <w:trHeight w:val="300"/>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SIZE.LIVING</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0.905185</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0.865595</w:t>
            </w: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r>
      <w:tr w:rsidR="005B4C47" w:rsidRPr="00B12DB7" w:rsidTr="005B4C47">
        <w:trPr>
          <w:trHeight w:val="300"/>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BDRMS</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0.507882</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0.531474</w:t>
            </w: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0.48245</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r>
      <w:tr w:rsidR="005B4C47" w:rsidRPr="00B12DB7" w:rsidTr="005B4C47">
        <w:trPr>
          <w:trHeight w:val="315"/>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LOTSIZE</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0.347205</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0.183842</w:t>
            </w: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0.328142</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0.136326</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w:t>
            </w:r>
          </w:p>
        </w:tc>
      </w:tr>
    </w:tbl>
    <w:p w:rsidR="00014E06" w:rsidRPr="00B12DB7" w:rsidRDefault="005B4C47"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Table 2. Correlation analysis results.</w:t>
      </w:r>
    </w:p>
    <w:p w:rsidR="00C61378" w:rsidRDefault="005B4C47"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 xml:space="preserve">From the correlation results above, the </w:t>
      </w:r>
      <w:r w:rsidR="001C388D" w:rsidRPr="00B12DB7">
        <w:rPr>
          <w:rFonts w:ascii="Times New Roman" w:hAnsi="Times New Roman" w:cs="Times New Roman"/>
          <w:sz w:val="24"/>
          <w:szCs w:val="24"/>
        </w:rPr>
        <w:t>living room size shows a very strong correlation with the price of the house. The size of the house shows a strong correlation while the number of bedrooms shows a moderate correlation with price of the house. The land size of the house shows a weak correlation with the price of the house.</w:t>
      </w:r>
      <w:r w:rsidR="009F0E43">
        <w:rPr>
          <w:rFonts w:ascii="Times New Roman" w:hAnsi="Times New Roman" w:cs="Times New Roman"/>
          <w:sz w:val="24"/>
          <w:szCs w:val="24"/>
        </w:rPr>
        <w:t xml:space="preserve"> All these variables show an explanatory value and therefore, all the variables will be used in the model.</w:t>
      </w:r>
    </w:p>
    <w:p w:rsidR="002C77F5" w:rsidRPr="00B12DB7" w:rsidRDefault="002C77F5" w:rsidP="00B12DB7">
      <w:pPr>
        <w:spacing w:line="480" w:lineRule="auto"/>
        <w:jc w:val="both"/>
        <w:rPr>
          <w:rFonts w:ascii="Times New Roman" w:hAnsi="Times New Roman" w:cs="Times New Roman"/>
          <w:sz w:val="24"/>
          <w:szCs w:val="24"/>
        </w:rPr>
      </w:pPr>
    </w:p>
    <w:p w:rsidR="001C388D" w:rsidRPr="00A973EA" w:rsidRDefault="001C388D" w:rsidP="00B12DB7">
      <w:pPr>
        <w:spacing w:line="480" w:lineRule="auto"/>
        <w:jc w:val="both"/>
        <w:rPr>
          <w:rFonts w:ascii="Times New Roman" w:hAnsi="Times New Roman" w:cs="Times New Roman"/>
          <w:b/>
          <w:sz w:val="24"/>
          <w:szCs w:val="24"/>
        </w:rPr>
      </w:pPr>
      <w:r w:rsidRPr="00A973EA">
        <w:rPr>
          <w:rFonts w:ascii="Times New Roman" w:hAnsi="Times New Roman" w:cs="Times New Roman"/>
          <w:b/>
          <w:sz w:val="24"/>
          <w:szCs w:val="24"/>
        </w:rPr>
        <w:lastRenderedPageBreak/>
        <w:t>REGRESSION ANALYSIS</w:t>
      </w:r>
    </w:p>
    <w:tbl>
      <w:tblPr>
        <w:tblStyle w:val="TableGrid"/>
        <w:tblW w:w="0" w:type="auto"/>
        <w:tblLook w:val="04A0" w:firstRow="1" w:lastRow="0" w:firstColumn="1" w:lastColumn="0" w:noHBand="0" w:noVBand="1"/>
      </w:tblPr>
      <w:tblGrid>
        <w:gridCol w:w="2900"/>
        <w:gridCol w:w="1476"/>
      </w:tblGrid>
      <w:tr w:rsidR="001C388D" w:rsidRPr="00B12DB7" w:rsidTr="001C388D">
        <w:trPr>
          <w:trHeight w:val="300"/>
        </w:trPr>
        <w:tc>
          <w:tcPr>
            <w:tcW w:w="3380" w:type="dxa"/>
            <w:gridSpan w:val="2"/>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Regression Statistics</w:t>
            </w:r>
          </w:p>
        </w:tc>
      </w:tr>
      <w:tr w:rsidR="001C388D" w:rsidRPr="00B12DB7" w:rsidTr="001C388D">
        <w:trPr>
          <w:trHeight w:val="300"/>
        </w:trPr>
        <w:tc>
          <w:tcPr>
            <w:tcW w:w="290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Multiple R</w:t>
            </w:r>
          </w:p>
        </w:tc>
        <w:tc>
          <w:tcPr>
            <w:tcW w:w="48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0.910506834</w:t>
            </w:r>
          </w:p>
        </w:tc>
      </w:tr>
      <w:tr w:rsidR="001C388D" w:rsidRPr="00B12DB7" w:rsidTr="001C388D">
        <w:trPr>
          <w:trHeight w:val="300"/>
        </w:trPr>
        <w:tc>
          <w:tcPr>
            <w:tcW w:w="290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R Square</w:t>
            </w:r>
          </w:p>
        </w:tc>
        <w:tc>
          <w:tcPr>
            <w:tcW w:w="48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0.829022694</w:t>
            </w:r>
          </w:p>
        </w:tc>
      </w:tr>
      <w:tr w:rsidR="001C388D" w:rsidRPr="00B12DB7" w:rsidTr="001C388D">
        <w:trPr>
          <w:trHeight w:val="300"/>
        </w:trPr>
        <w:tc>
          <w:tcPr>
            <w:tcW w:w="290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Adjusted R Square</w:t>
            </w:r>
          </w:p>
        </w:tc>
        <w:tc>
          <w:tcPr>
            <w:tcW w:w="48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0.820782824</w:t>
            </w:r>
          </w:p>
        </w:tc>
      </w:tr>
      <w:tr w:rsidR="001C388D" w:rsidRPr="00B12DB7" w:rsidTr="001C388D">
        <w:trPr>
          <w:trHeight w:val="300"/>
        </w:trPr>
        <w:tc>
          <w:tcPr>
            <w:tcW w:w="290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Standard Error</w:t>
            </w:r>
          </w:p>
        </w:tc>
        <w:tc>
          <w:tcPr>
            <w:tcW w:w="48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43.4641741</w:t>
            </w:r>
          </w:p>
        </w:tc>
      </w:tr>
      <w:tr w:rsidR="001C388D" w:rsidRPr="00B12DB7" w:rsidTr="001C388D">
        <w:trPr>
          <w:trHeight w:val="315"/>
        </w:trPr>
        <w:tc>
          <w:tcPr>
            <w:tcW w:w="290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Observations</w:t>
            </w:r>
          </w:p>
        </w:tc>
        <w:tc>
          <w:tcPr>
            <w:tcW w:w="48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88</w:t>
            </w:r>
          </w:p>
        </w:tc>
      </w:tr>
    </w:tbl>
    <w:p w:rsidR="001C388D" w:rsidRPr="00B12DB7" w:rsidRDefault="001C388D"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Table 3. Regression statistics</w:t>
      </w:r>
    </w:p>
    <w:p w:rsidR="001C388D" w:rsidRPr="00B12DB7" w:rsidRDefault="001C388D"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coefficient of correlation, Multiple R, is 0.9105. This indicates presence of multicollinearity. This indicates that the explanatory variables can predict the dependent variable with a 91.05% level of accuracy. The coefficient of determination, R</w:t>
      </w:r>
      <w:r w:rsidRPr="00B12DB7">
        <w:rPr>
          <w:rFonts w:ascii="Times New Roman" w:hAnsi="Times New Roman" w:cs="Times New Roman"/>
          <w:sz w:val="24"/>
          <w:szCs w:val="24"/>
          <w:vertAlign w:val="superscript"/>
        </w:rPr>
        <w:t>2</w:t>
      </w:r>
      <w:r w:rsidRPr="00B12DB7">
        <w:rPr>
          <w:rFonts w:ascii="Times New Roman" w:hAnsi="Times New Roman" w:cs="Times New Roman"/>
          <w:sz w:val="24"/>
          <w:szCs w:val="24"/>
        </w:rPr>
        <w:t>, is 0.8290. This implies that the explanatory variables explain 82.90% of the total variation is the dependent variable. The adjusted R square is 0.8208. This indicates that the explanatory power of the regression model is 82.08%. Also, the regression model has a standard error of 43.46 and it uses 88 observations.</w:t>
      </w:r>
    </w:p>
    <w:tbl>
      <w:tblPr>
        <w:tblStyle w:val="TableGrid"/>
        <w:tblW w:w="0" w:type="auto"/>
        <w:tblLook w:val="04A0" w:firstRow="1" w:lastRow="0" w:firstColumn="1" w:lastColumn="0" w:noHBand="0" w:noVBand="1"/>
      </w:tblPr>
      <w:tblGrid>
        <w:gridCol w:w="1283"/>
        <w:gridCol w:w="1720"/>
        <w:gridCol w:w="1116"/>
        <w:gridCol w:w="1116"/>
        <w:gridCol w:w="1116"/>
        <w:gridCol w:w="1416"/>
      </w:tblGrid>
      <w:tr w:rsidR="004E0016" w:rsidRPr="00B12DB7" w:rsidTr="004E0016">
        <w:trPr>
          <w:trHeight w:val="315"/>
        </w:trPr>
        <w:tc>
          <w:tcPr>
            <w:tcW w:w="118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ANOVA</w:t>
            </w:r>
          </w:p>
        </w:tc>
        <w:tc>
          <w:tcPr>
            <w:tcW w:w="172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r>
      <w:tr w:rsidR="004E0016" w:rsidRPr="00B12DB7" w:rsidTr="004E0016">
        <w:trPr>
          <w:trHeight w:val="300"/>
        </w:trPr>
        <w:tc>
          <w:tcPr>
            <w:tcW w:w="118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 </w:t>
            </w:r>
          </w:p>
        </w:tc>
        <w:tc>
          <w:tcPr>
            <w:tcW w:w="172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df</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SS</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MS</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F</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Significance F</w:t>
            </w:r>
          </w:p>
        </w:tc>
      </w:tr>
      <w:tr w:rsidR="004E0016" w:rsidRPr="00B12DB7" w:rsidTr="004E0016">
        <w:trPr>
          <w:trHeight w:val="300"/>
        </w:trPr>
        <w:tc>
          <w:tcPr>
            <w:tcW w:w="118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Regression</w:t>
            </w:r>
          </w:p>
        </w:tc>
        <w:tc>
          <w:tcPr>
            <w:tcW w:w="172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4</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760271.8</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190068</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100.6111</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5.2E-31</w:t>
            </w:r>
          </w:p>
        </w:tc>
      </w:tr>
      <w:tr w:rsidR="004E0016" w:rsidRPr="00B12DB7" w:rsidTr="004E0016">
        <w:trPr>
          <w:trHeight w:val="300"/>
        </w:trPr>
        <w:tc>
          <w:tcPr>
            <w:tcW w:w="118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Residual</w:t>
            </w:r>
          </w:p>
        </w:tc>
        <w:tc>
          <w:tcPr>
            <w:tcW w:w="172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83</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156798.2</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1889.134</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r>
      <w:tr w:rsidR="004E0016" w:rsidRPr="00B12DB7" w:rsidTr="004E0016">
        <w:trPr>
          <w:trHeight w:val="315"/>
        </w:trPr>
        <w:tc>
          <w:tcPr>
            <w:tcW w:w="118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Total</w:t>
            </w:r>
          </w:p>
        </w:tc>
        <w:tc>
          <w:tcPr>
            <w:tcW w:w="172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87</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917070</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 </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 </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 </w:t>
            </w:r>
          </w:p>
        </w:tc>
      </w:tr>
    </w:tbl>
    <w:p w:rsidR="004E0016" w:rsidRPr="00B12DB7" w:rsidRDefault="004E0016"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Table 4. ANOVA results.</w:t>
      </w:r>
    </w:p>
    <w:p w:rsidR="004E0016" w:rsidRDefault="004E0016"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 xml:space="preserve">The overall regression model has an F-value of 100.6111 with a p-value of 5.2E-31. The p-value is less than the level of significance, </w:t>
      </w:r>
      <w:r w:rsidR="000B4A44" w:rsidRPr="00B12DB7">
        <w:rPr>
          <w:rFonts w:ascii="Times New Roman" w:hAnsi="Times New Roman" w:cs="Times New Roman"/>
          <w:sz w:val="24"/>
          <w:szCs w:val="24"/>
        </w:rPr>
        <w:t>α = 0.05, implying that the regression model is statistically significant at 5% level of significance.</w:t>
      </w:r>
    </w:p>
    <w:p w:rsidR="002C77F5" w:rsidRDefault="002C77F5" w:rsidP="00B12DB7">
      <w:pPr>
        <w:spacing w:line="480" w:lineRule="auto"/>
        <w:jc w:val="both"/>
        <w:rPr>
          <w:rFonts w:ascii="Times New Roman" w:hAnsi="Times New Roman" w:cs="Times New Roman"/>
          <w:sz w:val="24"/>
          <w:szCs w:val="24"/>
        </w:rPr>
      </w:pPr>
    </w:p>
    <w:p w:rsidR="002C77F5" w:rsidRPr="00B12DB7" w:rsidRDefault="002C77F5" w:rsidP="00B12DB7">
      <w:pPr>
        <w:spacing w:line="480" w:lineRule="auto"/>
        <w:jc w:val="both"/>
        <w:rPr>
          <w:rFonts w:ascii="Times New Roman" w:hAnsi="Times New Roman" w:cs="Times New Roman"/>
          <w:sz w:val="24"/>
          <w:szCs w:val="24"/>
        </w:rPr>
      </w:pPr>
    </w:p>
    <w:tbl>
      <w:tblPr>
        <w:tblStyle w:val="TableGrid"/>
        <w:tblW w:w="10008" w:type="dxa"/>
        <w:tblLook w:val="04A0" w:firstRow="1" w:lastRow="0" w:firstColumn="1" w:lastColumn="0" w:noHBand="0" w:noVBand="1"/>
      </w:tblPr>
      <w:tblGrid>
        <w:gridCol w:w="1404"/>
        <w:gridCol w:w="1688"/>
        <w:gridCol w:w="988"/>
        <w:gridCol w:w="988"/>
        <w:gridCol w:w="988"/>
        <w:gridCol w:w="988"/>
        <w:gridCol w:w="988"/>
        <w:gridCol w:w="988"/>
        <w:gridCol w:w="988"/>
      </w:tblGrid>
      <w:tr w:rsidR="00B3023C" w:rsidRPr="00B12DB7" w:rsidTr="002C77F5">
        <w:trPr>
          <w:trHeight w:val="297"/>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lastRenderedPageBreak/>
              <w:t> </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Coefficients</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Standard Error</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t Stat</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P-value</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Lower 95%</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Upper 95%</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Lower 95.0%</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Upper 95.0%</w:t>
            </w:r>
          </w:p>
        </w:tc>
      </w:tr>
      <w:tr w:rsidR="00B3023C" w:rsidRPr="00B12DB7" w:rsidTr="002C77F5">
        <w:trPr>
          <w:trHeight w:val="297"/>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Intercept</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-38.68870631</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21.50067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-1.79942</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0.075587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-81.4527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4.075263</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-81.4527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4.075263</w:t>
            </w:r>
          </w:p>
        </w:tc>
      </w:tr>
      <w:tr w:rsidR="00B3023C" w:rsidRPr="00B12DB7" w:rsidTr="002C77F5">
        <w:trPr>
          <w:trHeight w:val="297"/>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SQRFT</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-0.000486084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0.017084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-0.02845</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0.97737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-0.03447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0.033494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-0.03447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0.033494</w:t>
            </w:r>
          </w:p>
        </w:tc>
      </w:tr>
      <w:tr w:rsidR="00B3023C" w:rsidRPr="00B12DB7" w:rsidTr="002C77F5">
        <w:trPr>
          <w:trHeight w:val="297"/>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SIZE.LIVING</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0.907611132</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0.104023</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8.725072</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2.32E-13</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0.700713</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1.114509</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0.700713</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1.114509</w:t>
            </w:r>
          </w:p>
        </w:tc>
      </w:tr>
      <w:tr w:rsidR="00B3023C" w:rsidRPr="00B12DB7" w:rsidTr="002C77F5">
        <w:trPr>
          <w:trHeight w:val="297"/>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BDRMS</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11.57300509</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6.55021</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1.766814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0.080936</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-1.4551</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24.60111</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-1.4551</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24.60111</w:t>
            </w:r>
          </w:p>
        </w:tc>
      </w:tr>
      <w:tr w:rsidR="00B3023C" w:rsidRPr="00B12DB7" w:rsidTr="002C77F5">
        <w:trPr>
          <w:trHeight w:val="312"/>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LOTSIZE</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0.000587922</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0.000496</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1.184519</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0.239589</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-0.0004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0.001575</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-0.0004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0.001575</w:t>
            </w:r>
          </w:p>
        </w:tc>
      </w:tr>
    </w:tbl>
    <w:p w:rsidR="00B3023C" w:rsidRPr="00B12DB7" w:rsidRDefault="00B3023C"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Table 5. Coefficient estimates</w:t>
      </w:r>
    </w:p>
    <w:p w:rsidR="00B01731" w:rsidRDefault="008871EA" w:rsidP="00B12DB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model, the dependent variable is price of the house and the explanatory variables are </w:t>
      </w:r>
      <w:r w:rsidR="00724D44">
        <w:rPr>
          <w:rFonts w:ascii="Times New Roman" w:hAnsi="Times New Roman" w:cs="Times New Roman"/>
          <w:sz w:val="24"/>
          <w:szCs w:val="24"/>
        </w:rPr>
        <w:t xml:space="preserve">“sqft”, “size.living”, “bdrms”, and “lotsize”. </w:t>
      </w:r>
      <w:r w:rsidR="004B2CE9">
        <w:rPr>
          <w:rFonts w:ascii="Times New Roman" w:hAnsi="Times New Roman" w:cs="Times New Roman"/>
          <w:sz w:val="24"/>
          <w:szCs w:val="24"/>
        </w:rPr>
        <w:t>From the table of coefficients above, there is only one statistically significant variable, “size.living”. The coefficient estimate for size.living is 0.9076</w:t>
      </w:r>
      <w:r w:rsidR="00EE3E31">
        <w:rPr>
          <w:rFonts w:ascii="Times New Roman" w:hAnsi="Times New Roman" w:cs="Times New Roman"/>
          <w:sz w:val="24"/>
          <w:szCs w:val="24"/>
        </w:rPr>
        <w:t xml:space="preserve"> with a p-value of 2.32E-13. The p-value is less than 0.05 imp</w:t>
      </w:r>
      <w:r w:rsidR="00E15726">
        <w:rPr>
          <w:rFonts w:ascii="Times New Roman" w:hAnsi="Times New Roman" w:cs="Times New Roman"/>
          <w:sz w:val="24"/>
          <w:szCs w:val="24"/>
        </w:rPr>
        <w:t>l</w:t>
      </w:r>
      <w:r w:rsidR="00EE3E31">
        <w:rPr>
          <w:rFonts w:ascii="Times New Roman" w:hAnsi="Times New Roman" w:cs="Times New Roman"/>
          <w:sz w:val="24"/>
          <w:szCs w:val="24"/>
        </w:rPr>
        <w:t>ying that the coefficient estimate is statistically significant</w:t>
      </w:r>
      <w:r w:rsidR="004B2CE9">
        <w:rPr>
          <w:rFonts w:ascii="Times New Roman" w:hAnsi="Times New Roman" w:cs="Times New Roman"/>
          <w:sz w:val="24"/>
          <w:szCs w:val="24"/>
        </w:rPr>
        <w:t xml:space="preserve">. This implies that a unit increase in the size of living space causes a 0.9076 increase in the price of a house.  </w:t>
      </w:r>
      <w:r w:rsidR="00634A3F">
        <w:rPr>
          <w:rFonts w:ascii="Times New Roman" w:hAnsi="Times New Roman" w:cs="Times New Roman"/>
          <w:sz w:val="24"/>
          <w:szCs w:val="24"/>
        </w:rPr>
        <w:t xml:space="preserve">This implies that </w:t>
      </w:r>
      <w:r w:rsidR="00724D44">
        <w:rPr>
          <w:rFonts w:ascii="Times New Roman" w:hAnsi="Times New Roman" w:cs="Times New Roman"/>
          <w:sz w:val="24"/>
          <w:szCs w:val="24"/>
        </w:rPr>
        <w:t>an increase in the size of living space increases the price.</w:t>
      </w:r>
    </w:p>
    <w:p w:rsidR="00724D44" w:rsidRDefault="00724D44" w:rsidP="00B12DB7">
      <w:pPr>
        <w:spacing w:line="480" w:lineRule="auto"/>
        <w:jc w:val="both"/>
        <w:rPr>
          <w:rFonts w:ascii="Times New Roman" w:hAnsi="Times New Roman" w:cs="Times New Roman"/>
          <w:sz w:val="24"/>
          <w:szCs w:val="24"/>
        </w:rPr>
      </w:pPr>
      <w:r>
        <w:rPr>
          <w:rFonts w:ascii="Times New Roman" w:hAnsi="Times New Roman" w:cs="Times New Roman"/>
          <w:sz w:val="24"/>
          <w:szCs w:val="24"/>
        </w:rPr>
        <w:t>Next, we delete the insignificant variables and re-run the regression model using the significant variable. The resulting regression model is given below;</w:t>
      </w:r>
    </w:p>
    <w:tbl>
      <w:tblPr>
        <w:tblStyle w:val="TableGrid"/>
        <w:tblW w:w="0" w:type="auto"/>
        <w:tblLook w:val="04A0" w:firstRow="1" w:lastRow="0" w:firstColumn="1" w:lastColumn="0" w:noHBand="0" w:noVBand="1"/>
      </w:tblPr>
      <w:tblGrid>
        <w:gridCol w:w="2245"/>
        <w:gridCol w:w="1116"/>
      </w:tblGrid>
      <w:tr w:rsidR="00615FA2" w:rsidRPr="00615FA2" w:rsidTr="00615FA2">
        <w:trPr>
          <w:trHeight w:val="315"/>
        </w:trPr>
        <w:tc>
          <w:tcPr>
            <w:tcW w:w="2785" w:type="dxa"/>
            <w:gridSpan w:val="2"/>
            <w:noWrap/>
            <w:hideMark/>
          </w:tcPr>
          <w:p w:rsidR="00615FA2" w:rsidRPr="00615FA2" w:rsidRDefault="00615FA2" w:rsidP="00615FA2">
            <w:pPr>
              <w:spacing w:line="360" w:lineRule="auto"/>
              <w:jc w:val="both"/>
              <w:rPr>
                <w:rFonts w:ascii="Times New Roman" w:hAnsi="Times New Roman" w:cs="Times New Roman"/>
                <w:i/>
                <w:iCs/>
                <w:sz w:val="24"/>
                <w:szCs w:val="24"/>
              </w:rPr>
            </w:pPr>
            <w:r w:rsidRPr="00615FA2">
              <w:rPr>
                <w:rFonts w:ascii="Times New Roman" w:hAnsi="Times New Roman" w:cs="Times New Roman"/>
                <w:i/>
                <w:iCs/>
                <w:sz w:val="24"/>
                <w:szCs w:val="24"/>
              </w:rPr>
              <w:t>Regression Statistics</w:t>
            </w:r>
          </w:p>
        </w:tc>
      </w:tr>
      <w:tr w:rsidR="00615FA2" w:rsidRPr="00615FA2" w:rsidTr="00615FA2">
        <w:trPr>
          <w:trHeight w:val="330"/>
        </w:trPr>
        <w:tc>
          <w:tcPr>
            <w:tcW w:w="2245" w:type="dxa"/>
            <w:noWrap/>
            <w:hideMark/>
          </w:tcPr>
          <w:p w:rsidR="00615FA2" w:rsidRPr="00615FA2" w:rsidRDefault="00615FA2" w:rsidP="00615FA2">
            <w:pPr>
              <w:spacing w:line="360" w:lineRule="auto"/>
              <w:jc w:val="both"/>
              <w:rPr>
                <w:rFonts w:ascii="Times New Roman" w:hAnsi="Times New Roman" w:cs="Times New Roman"/>
                <w:sz w:val="24"/>
                <w:szCs w:val="24"/>
              </w:rPr>
            </w:pPr>
            <w:r w:rsidRPr="00615FA2">
              <w:rPr>
                <w:rFonts w:ascii="Times New Roman" w:hAnsi="Times New Roman" w:cs="Times New Roman"/>
                <w:sz w:val="24"/>
                <w:szCs w:val="24"/>
              </w:rPr>
              <w:t>Multiple R</w:t>
            </w:r>
          </w:p>
        </w:tc>
        <w:tc>
          <w:tcPr>
            <w:tcW w:w="540" w:type="dxa"/>
            <w:noWrap/>
            <w:hideMark/>
          </w:tcPr>
          <w:p w:rsidR="00615FA2" w:rsidRPr="00615FA2" w:rsidRDefault="00615FA2" w:rsidP="00615FA2">
            <w:pPr>
              <w:spacing w:line="360" w:lineRule="auto"/>
              <w:jc w:val="both"/>
              <w:rPr>
                <w:rFonts w:ascii="Times New Roman" w:hAnsi="Times New Roman" w:cs="Times New Roman"/>
                <w:sz w:val="24"/>
                <w:szCs w:val="24"/>
              </w:rPr>
            </w:pPr>
            <w:r w:rsidRPr="00615FA2">
              <w:rPr>
                <w:rFonts w:ascii="Times New Roman" w:hAnsi="Times New Roman" w:cs="Times New Roman"/>
                <w:sz w:val="24"/>
                <w:szCs w:val="24"/>
              </w:rPr>
              <w:t>0.905185</w:t>
            </w:r>
          </w:p>
        </w:tc>
      </w:tr>
      <w:tr w:rsidR="00615FA2" w:rsidRPr="00615FA2" w:rsidTr="00615FA2">
        <w:trPr>
          <w:trHeight w:val="315"/>
        </w:trPr>
        <w:tc>
          <w:tcPr>
            <w:tcW w:w="2245" w:type="dxa"/>
            <w:noWrap/>
            <w:hideMark/>
          </w:tcPr>
          <w:p w:rsidR="00615FA2" w:rsidRPr="00615FA2" w:rsidRDefault="00615FA2" w:rsidP="00615FA2">
            <w:pPr>
              <w:spacing w:line="360" w:lineRule="auto"/>
              <w:jc w:val="both"/>
              <w:rPr>
                <w:rFonts w:ascii="Times New Roman" w:hAnsi="Times New Roman" w:cs="Times New Roman"/>
                <w:sz w:val="24"/>
                <w:szCs w:val="24"/>
              </w:rPr>
            </w:pPr>
            <w:r w:rsidRPr="00615FA2">
              <w:rPr>
                <w:rFonts w:ascii="Times New Roman" w:hAnsi="Times New Roman" w:cs="Times New Roman"/>
                <w:sz w:val="24"/>
                <w:szCs w:val="24"/>
              </w:rPr>
              <w:t>R Square</w:t>
            </w:r>
          </w:p>
        </w:tc>
        <w:tc>
          <w:tcPr>
            <w:tcW w:w="540" w:type="dxa"/>
            <w:noWrap/>
            <w:hideMark/>
          </w:tcPr>
          <w:p w:rsidR="00615FA2" w:rsidRPr="00615FA2" w:rsidRDefault="00615FA2" w:rsidP="00615FA2">
            <w:pPr>
              <w:spacing w:line="360" w:lineRule="auto"/>
              <w:jc w:val="both"/>
              <w:rPr>
                <w:rFonts w:ascii="Times New Roman" w:hAnsi="Times New Roman" w:cs="Times New Roman"/>
                <w:sz w:val="24"/>
                <w:szCs w:val="24"/>
              </w:rPr>
            </w:pPr>
            <w:r w:rsidRPr="00615FA2">
              <w:rPr>
                <w:rFonts w:ascii="Times New Roman" w:hAnsi="Times New Roman" w:cs="Times New Roman"/>
                <w:sz w:val="24"/>
                <w:szCs w:val="24"/>
              </w:rPr>
              <w:t>0.819361</w:t>
            </w:r>
          </w:p>
        </w:tc>
      </w:tr>
      <w:tr w:rsidR="00615FA2" w:rsidRPr="00615FA2" w:rsidTr="00615FA2">
        <w:trPr>
          <w:trHeight w:val="315"/>
        </w:trPr>
        <w:tc>
          <w:tcPr>
            <w:tcW w:w="2245" w:type="dxa"/>
            <w:noWrap/>
            <w:hideMark/>
          </w:tcPr>
          <w:p w:rsidR="00615FA2" w:rsidRPr="00615FA2" w:rsidRDefault="00615FA2" w:rsidP="00615FA2">
            <w:pPr>
              <w:spacing w:line="360" w:lineRule="auto"/>
              <w:jc w:val="both"/>
              <w:rPr>
                <w:rFonts w:ascii="Times New Roman" w:hAnsi="Times New Roman" w:cs="Times New Roman"/>
                <w:sz w:val="24"/>
                <w:szCs w:val="24"/>
              </w:rPr>
            </w:pPr>
            <w:r w:rsidRPr="00615FA2">
              <w:rPr>
                <w:rFonts w:ascii="Times New Roman" w:hAnsi="Times New Roman" w:cs="Times New Roman"/>
                <w:sz w:val="24"/>
                <w:szCs w:val="24"/>
              </w:rPr>
              <w:t>Adjusted R Square</w:t>
            </w:r>
          </w:p>
        </w:tc>
        <w:tc>
          <w:tcPr>
            <w:tcW w:w="540" w:type="dxa"/>
            <w:noWrap/>
            <w:hideMark/>
          </w:tcPr>
          <w:p w:rsidR="00615FA2" w:rsidRPr="00615FA2" w:rsidRDefault="00615FA2" w:rsidP="00615FA2">
            <w:pPr>
              <w:spacing w:line="360" w:lineRule="auto"/>
              <w:jc w:val="both"/>
              <w:rPr>
                <w:rFonts w:ascii="Times New Roman" w:hAnsi="Times New Roman" w:cs="Times New Roman"/>
                <w:sz w:val="24"/>
                <w:szCs w:val="24"/>
              </w:rPr>
            </w:pPr>
            <w:r w:rsidRPr="00615FA2">
              <w:rPr>
                <w:rFonts w:ascii="Times New Roman" w:hAnsi="Times New Roman" w:cs="Times New Roman"/>
                <w:sz w:val="24"/>
                <w:szCs w:val="24"/>
              </w:rPr>
              <w:t>0.81726</w:t>
            </w:r>
          </w:p>
        </w:tc>
      </w:tr>
      <w:tr w:rsidR="00615FA2" w:rsidRPr="00615FA2" w:rsidTr="00615FA2">
        <w:trPr>
          <w:trHeight w:val="315"/>
        </w:trPr>
        <w:tc>
          <w:tcPr>
            <w:tcW w:w="2245" w:type="dxa"/>
            <w:noWrap/>
            <w:hideMark/>
          </w:tcPr>
          <w:p w:rsidR="00615FA2" w:rsidRPr="00615FA2" w:rsidRDefault="00615FA2" w:rsidP="00615FA2">
            <w:pPr>
              <w:spacing w:line="360" w:lineRule="auto"/>
              <w:jc w:val="both"/>
              <w:rPr>
                <w:rFonts w:ascii="Times New Roman" w:hAnsi="Times New Roman" w:cs="Times New Roman"/>
                <w:sz w:val="24"/>
                <w:szCs w:val="24"/>
              </w:rPr>
            </w:pPr>
            <w:r w:rsidRPr="00615FA2">
              <w:rPr>
                <w:rFonts w:ascii="Times New Roman" w:hAnsi="Times New Roman" w:cs="Times New Roman"/>
                <w:sz w:val="24"/>
                <w:szCs w:val="24"/>
              </w:rPr>
              <w:t>Standard Error</w:t>
            </w:r>
          </w:p>
        </w:tc>
        <w:tc>
          <w:tcPr>
            <w:tcW w:w="540" w:type="dxa"/>
            <w:noWrap/>
            <w:hideMark/>
          </w:tcPr>
          <w:p w:rsidR="00615FA2" w:rsidRPr="00615FA2" w:rsidRDefault="00615FA2" w:rsidP="00615FA2">
            <w:pPr>
              <w:spacing w:line="360" w:lineRule="auto"/>
              <w:jc w:val="both"/>
              <w:rPr>
                <w:rFonts w:ascii="Times New Roman" w:hAnsi="Times New Roman" w:cs="Times New Roman"/>
                <w:sz w:val="24"/>
                <w:szCs w:val="24"/>
              </w:rPr>
            </w:pPr>
            <w:r w:rsidRPr="00615FA2">
              <w:rPr>
                <w:rFonts w:ascii="Times New Roman" w:hAnsi="Times New Roman" w:cs="Times New Roman"/>
                <w:sz w:val="24"/>
                <w:szCs w:val="24"/>
              </w:rPr>
              <w:t>43.88925</w:t>
            </w:r>
          </w:p>
        </w:tc>
      </w:tr>
      <w:tr w:rsidR="00615FA2" w:rsidRPr="00615FA2" w:rsidTr="00615FA2">
        <w:trPr>
          <w:trHeight w:val="330"/>
        </w:trPr>
        <w:tc>
          <w:tcPr>
            <w:tcW w:w="2245" w:type="dxa"/>
            <w:noWrap/>
            <w:hideMark/>
          </w:tcPr>
          <w:p w:rsidR="00615FA2" w:rsidRPr="00615FA2" w:rsidRDefault="00615FA2" w:rsidP="00615FA2">
            <w:pPr>
              <w:spacing w:line="360" w:lineRule="auto"/>
              <w:jc w:val="both"/>
              <w:rPr>
                <w:rFonts w:ascii="Times New Roman" w:hAnsi="Times New Roman" w:cs="Times New Roman"/>
                <w:sz w:val="24"/>
                <w:szCs w:val="24"/>
              </w:rPr>
            </w:pPr>
            <w:r w:rsidRPr="00615FA2">
              <w:rPr>
                <w:rFonts w:ascii="Times New Roman" w:hAnsi="Times New Roman" w:cs="Times New Roman"/>
                <w:sz w:val="24"/>
                <w:szCs w:val="24"/>
              </w:rPr>
              <w:t>Observations</w:t>
            </w:r>
          </w:p>
        </w:tc>
        <w:tc>
          <w:tcPr>
            <w:tcW w:w="540" w:type="dxa"/>
            <w:noWrap/>
            <w:hideMark/>
          </w:tcPr>
          <w:p w:rsidR="00615FA2" w:rsidRPr="00615FA2" w:rsidRDefault="00615FA2" w:rsidP="00615FA2">
            <w:pPr>
              <w:spacing w:line="360" w:lineRule="auto"/>
              <w:jc w:val="both"/>
              <w:rPr>
                <w:rFonts w:ascii="Times New Roman" w:hAnsi="Times New Roman" w:cs="Times New Roman"/>
                <w:sz w:val="24"/>
                <w:szCs w:val="24"/>
              </w:rPr>
            </w:pPr>
            <w:r w:rsidRPr="00615FA2">
              <w:rPr>
                <w:rFonts w:ascii="Times New Roman" w:hAnsi="Times New Roman" w:cs="Times New Roman"/>
                <w:sz w:val="24"/>
                <w:szCs w:val="24"/>
              </w:rPr>
              <w:t>88</w:t>
            </w:r>
          </w:p>
        </w:tc>
      </w:tr>
    </w:tbl>
    <w:p w:rsidR="00724D44" w:rsidRDefault="00724D44" w:rsidP="00B12DB7">
      <w:pPr>
        <w:spacing w:line="480" w:lineRule="auto"/>
        <w:jc w:val="both"/>
        <w:rPr>
          <w:rFonts w:ascii="Times New Roman" w:hAnsi="Times New Roman" w:cs="Times New Roman"/>
          <w:sz w:val="24"/>
          <w:szCs w:val="24"/>
        </w:rPr>
      </w:pPr>
    </w:p>
    <w:p w:rsidR="00615FA2" w:rsidRPr="00615FA2" w:rsidRDefault="00615FA2" w:rsidP="00B12DB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coefficient of correlation is 0.905185. This indicates presence of multicollinearity and therefore, the explanatory variable can predict the dependent variable with 90.52% level of accuracy. The coefficient of determination is 0.819361 implying that the model explains 81.94% </w:t>
      </w:r>
      <w:r>
        <w:rPr>
          <w:rFonts w:ascii="Times New Roman" w:hAnsi="Times New Roman" w:cs="Times New Roman"/>
          <w:sz w:val="24"/>
          <w:szCs w:val="24"/>
        </w:rPr>
        <w:lastRenderedPageBreak/>
        <w:t>of the total variation in the price of a house. The adjusted R</w:t>
      </w:r>
      <w:r>
        <w:rPr>
          <w:rFonts w:ascii="Times New Roman" w:hAnsi="Times New Roman" w:cs="Times New Roman"/>
          <w:sz w:val="24"/>
          <w:szCs w:val="24"/>
          <w:vertAlign w:val="superscript"/>
        </w:rPr>
        <w:t xml:space="preserve">2 </w:t>
      </w:r>
      <w:r>
        <w:rPr>
          <w:rFonts w:ascii="Times New Roman" w:hAnsi="Times New Roman" w:cs="Times New Roman"/>
          <w:sz w:val="24"/>
          <w:szCs w:val="24"/>
        </w:rPr>
        <w:t>is 0.81726 implying that the goodness of the model is pretty good. The analysis involved a sample of 88 observations.</w:t>
      </w:r>
    </w:p>
    <w:tbl>
      <w:tblPr>
        <w:tblStyle w:val="TableGrid"/>
        <w:tblW w:w="0" w:type="auto"/>
        <w:tblLook w:val="04A0" w:firstRow="1" w:lastRow="0" w:firstColumn="1" w:lastColumn="0" w:noHBand="0" w:noVBand="1"/>
      </w:tblPr>
      <w:tblGrid>
        <w:gridCol w:w="1283"/>
        <w:gridCol w:w="960"/>
        <w:gridCol w:w="1116"/>
        <w:gridCol w:w="1116"/>
        <w:gridCol w:w="1116"/>
        <w:gridCol w:w="1514"/>
      </w:tblGrid>
      <w:tr w:rsidR="00615FA2" w:rsidRPr="00615FA2" w:rsidTr="00615FA2">
        <w:trPr>
          <w:trHeight w:val="330"/>
        </w:trPr>
        <w:tc>
          <w:tcPr>
            <w:tcW w:w="1283"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ANOVA</w:t>
            </w:r>
          </w:p>
        </w:tc>
        <w:tc>
          <w:tcPr>
            <w:tcW w:w="960" w:type="dxa"/>
            <w:noWrap/>
            <w:hideMark/>
          </w:tcPr>
          <w:p w:rsidR="00615FA2" w:rsidRPr="00615FA2" w:rsidRDefault="00615FA2" w:rsidP="00615FA2">
            <w:pPr>
              <w:jc w:val="both"/>
              <w:rPr>
                <w:rFonts w:ascii="Times New Roman" w:hAnsi="Times New Roman" w:cs="Times New Roman"/>
                <w:sz w:val="24"/>
                <w:szCs w:val="24"/>
              </w:rPr>
            </w:pPr>
          </w:p>
        </w:tc>
        <w:tc>
          <w:tcPr>
            <w:tcW w:w="1116" w:type="dxa"/>
            <w:noWrap/>
            <w:hideMark/>
          </w:tcPr>
          <w:p w:rsidR="00615FA2" w:rsidRPr="00615FA2" w:rsidRDefault="00615FA2" w:rsidP="00615FA2">
            <w:pPr>
              <w:jc w:val="both"/>
              <w:rPr>
                <w:rFonts w:ascii="Times New Roman" w:hAnsi="Times New Roman" w:cs="Times New Roman"/>
                <w:sz w:val="24"/>
                <w:szCs w:val="24"/>
              </w:rPr>
            </w:pPr>
          </w:p>
        </w:tc>
        <w:tc>
          <w:tcPr>
            <w:tcW w:w="1116" w:type="dxa"/>
            <w:noWrap/>
            <w:hideMark/>
          </w:tcPr>
          <w:p w:rsidR="00615FA2" w:rsidRPr="00615FA2" w:rsidRDefault="00615FA2" w:rsidP="00615FA2">
            <w:pPr>
              <w:jc w:val="both"/>
              <w:rPr>
                <w:rFonts w:ascii="Times New Roman" w:hAnsi="Times New Roman" w:cs="Times New Roman"/>
                <w:sz w:val="24"/>
                <w:szCs w:val="24"/>
              </w:rPr>
            </w:pPr>
          </w:p>
        </w:tc>
        <w:tc>
          <w:tcPr>
            <w:tcW w:w="1116" w:type="dxa"/>
            <w:noWrap/>
            <w:hideMark/>
          </w:tcPr>
          <w:p w:rsidR="00615FA2" w:rsidRPr="00615FA2" w:rsidRDefault="00615FA2" w:rsidP="00615FA2">
            <w:pPr>
              <w:jc w:val="both"/>
              <w:rPr>
                <w:rFonts w:ascii="Times New Roman" w:hAnsi="Times New Roman" w:cs="Times New Roman"/>
                <w:sz w:val="24"/>
                <w:szCs w:val="24"/>
              </w:rPr>
            </w:pPr>
          </w:p>
        </w:tc>
        <w:tc>
          <w:tcPr>
            <w:tcW w:w="1514" w:type="dxa"/>
            <w:noWrap/>
            <w:hideMark/>
          </w:tcPr>
          <w:p w:rsidR="00615FA2" w:rsidRPr="00615FA2" w:rsidRDefault="00615FA2" w:rsidP="00615FA2">
            <w:pPr>
              <w:jc w:val="both"/>
              <w:rPr>
                <w:rFonts w:ascii="Times New Roman" w:hAnsi="Times New Roman" w:cs="Times New Roman"/>
                <w:sz w:val="24"/>
                <w:szCs w:val="24"/>
              </w:rPr>
            </w:pPr>
          </w:p>
        </w:tc>
      </w:tr>
      <w:tr w:rsidR="00615FA2" w:rsidRPr="00615FA2" w:rsidTr="00615FA2">
        <w:trPr>
          <w:trHeight w:val="315"/>
        </w:trPr>
        <w:tc>
          <w:tcPr>
            <w:tcW w:w="1283"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 </w:t>
            </w:r>
          </w:p>
        </w:tc>
        <w:tc>
          <w:tcPr>
            <w:tcW w:w="960"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df</w:t>
            </w:r>
          </w:p>
        </w:tc>
        <w:tc>
          <w:tcPr>
            <w:tcW w:w="1116"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SS</w:t>
            </w:r>
          </w:p>
        </w:tc>
        <w:tc>
          <w:tcPr>
            <w:tcW w:w="1116"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MS</w:t>
            </w:r>
          </w:p>
        </w:tc>
        <w:tc>
          <w:tcPr>
            <w:tcW w:w="1116"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F</w:t>
            </w:r>
          </w:p>
        </w:tc>
        <w:tc>
          <w:tcPr>
            <w:tcW w:w="1514"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Significance F</w:t>
            </w:r>
          </w:p>
        </w:tc>
      </w:tr>
      <w:tr w:rsidR="00615FA2" w:rsidRPr="00615FA2" w:rsidTr="00615FA2">
        <w:trPr>
          <w:trHeight w:val="315"/>
        </w:trPr>
        <w:tc>
          <w:tcPr>
            <w:tcW w:w="1283"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Regression</w:t>
            </w:r>
          </w:p>
        </w:tc>
        <w:tc>
          <w:tcPr>
            <w:tcW w:w="960"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1</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751411.1</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751411.1</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390.0868</w:t>
            </w:r>
          </w:p>
        </w:tc>
        <w:tc>
          <w:tcPr>
            <w:tcW w:w="1514"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1.04E-33</w:t>
            </w:r>
          </w:p>
        </w:tc>
      </w:tr>
      <w:tr w:rsidR="00615FA2" w:rsidRPr="00615FA2" w:rsidTr="00615FA2">
        <w:trPr>
          <w:trHeight w:val="315"/>
        </w:trPr>
        <w:tc>
          <w:tcPr>
            <w:tcW w:w="1283"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Residual</w:t>
            </w:r>
          </w:p>
        </w:tc>
        <w:tc>
          <w:tcPr>
            <w:tcW w:w="960"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86</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165658.9</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1926.266</w:t>
            </w:r>
          </w:p>
        </w:tc>
        <w:tc>
          <w:tcPr>
            <w:tcW w:w="1116" w:type="dxa"/>
            <w:noWrap/>
            <w:hideMark/>
          </w:tcPr>
          <w:p w:rsidR="00615FA2" w:rsidRPr="00615FA2" w:rsidRDefault="00615FA2" w:rsidP="00615FA2">
            <w:pPr>
              <w:jc w:val="both"/>
              <w:rPr>
                <w:rFonts w:ascii="Times New Roman" w:hAnsi="Times New Roman" w:cs="Times New Roman"/>
                <w:sz w:val="24"/>
                <w:szCs w:val="24"/>
              </w:rPr>
            </w:pPr>
          </w:p>
        </w:tc>
        <w:tc>
          <w:tcPr>
            <w:tcW w:w="1514" w:type="dxa"/>
            <w:noWrap/>
            <w:hideMark/>
          </w:tcPr>
          <w:p w:rsidR="00615FA2" w:rsidRPr="00615FA2" w:rsidRDefault="00615FA2" w:rsidP="00615FA2">
            <w:pPr>
              <w:jc w:val="both"/>
              <w:rPr>
                <w:rFonts w:ascii="Times New Roman" w:hAnsi="Times New Roman" w:cs="Times New Roman"/>
                <w:sz w:val="24"/>
                <w:szCs w:val="24"/>
              </w:rPr>
            </w:pPr>
          </w:p>
        </w:tc>
      </w:tr>
      <w:tr w:rsidR="00615FA2" w:rsidRPr="00615FA2" w:rsidTr="00615FA2">
        <w:trPr>
          <w:trHeight w:val="330"/>
        </w:trPr>
        <w:tc>
          <w:tcPr>
            <w:tcW w:w="1283"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Total</w:t>
            </w:r>
          </w:p>
        </w:tc>
        <w:tc>
          <w:tcPr>
            <w:tcW w:w="960"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87</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917070</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 </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 </w:t>
            </w:r>
          </w:p>
        </w:tc>
        <w:tc>
          <w:tcPr>
            <w:tcW w:w="1514"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 </w:t>
            </w:r>
          </w:p>
        </w:tc>
      </w:tr>
    </w:tbl>
    <w:p w:rsidR="00615FA2" w:rsidRDefault="00615FA2" w:rsidP="00E7252E">
      <w:pPr>
        <w:spacing w:line="480" w:lineRule="auto"/>
        <w:jc w:val="both"/>
        <w:rPr>
          <w:rFonts w:ascii="Times New Roman" w:hAnsi="Times New Roman" w:cs="Times New Roman"/>
          <w:sz w:val="24"/>
          <w:szCs w:val="24"/>
        </w:rPr>
      </w:pPr>
    </w:p>
    <w:p w:rsidR="00615FA2" w:rsidRDefault="00615FA2" w:rsidP="00E7252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the ANOVA results above, </w:t>
      </w:r>
      <w:r w:rsidR="00E7252E">
        <w:rPr>
          <w:rFonts w:ascii="Times New Roman" w:hAnsi="Times New Roman" w:cs="Times New Roman"/>
          <w:sz w:val="24"/>
          <w:szCs w:val="24"/>
        </w:rPr>
        <w:t>the f-value is 390.0868 with a p-value of 1.04E-33. The p-value is less than 0.05 implying that the model is statistically significant.</w:t>
      </w:r>
    </w:p>
    <w:tbl>
      <w:tblPr>
        <w:tblStyle w:val="TableGrid"/>
        <w:tblW w:w="8574" w:type="dxa"/>
        <w:tblLook w:val="04A0" w:firstRow="1" w:lastRow="0" w:firstColumn="1" w:lastColumn="0" w:noHBand="0" w:noVBand="1"/>
      </w:tblPr>
      <w:tblGrid>
        <w:gridCol w:w="1631"/>
        <w:gridCol w:w="1363"/>
        <w:gridCol w:w="1116"/>
        <w:gridCol w:w="1116"/>
        <w:gridCol w:w="1116"/>
        <w:gridCol w:w="1116"/>
        <w:gridCol w:w="1116"/>
      </w:tblGrid>
      <w:tr w:rsidR="00615FA2" w:rsidRPr="00615FA2" w:rsidTr="00615FA2">
        <w:trPr>
          <w:trHeight w:val="315"/>
        </w:trPr>
        <w:tc>
          <w:tcPr>
            <w:tcW w:w="1631"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 </w:t>
            </w:r>
          </w:p>
        </w:tc>
        <w:tc>
          <w:tcPr>
            <w:tcW w:w="1363"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Coefficients</w:t>
            </w:r>
          </w:p>
        </w:tc>
        <w:tc>
          <w:tcPr>
            <w:tcW w:w="1116"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Standard Error</w:t>
            </w:r>
          </w:p>
        </w:tc>
        <w:tc>
          <w:tcPr>
            <w:tcW w:w="1116"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t Stat</w:t>
            </w:r>
          </w:p>
        </w:tc>
        <w:tc>
          <w:tcPr>
            <w:tcW w:w="1116"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P-value</w:t>
            </w:r>
          </w:p>
        </w:tc>
        <w:tc>
          <w:tcPr>
            <w:tcW w:w="1116"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Lower 95%</w:t>
            </w:r>
          </w:p>
        </w:tc>
        <w:tc>
          <w:tcPr>
            <w:tcW w:w="1116" w:type="dxa"/>
            <w:noWrap/>
            <w:hideMark/>
          </w:tcPr>
          <w:p w:rsidR="00615FA2" w:rsidRPr="00615FA2" w:rsidRDefault="00615FA2" w:rsidP="00615FA2">
            <w:pPr>
              <w:jc w:val="both"/>
              <w:rPr>
                <w:rFonts w:ascii="Times New Roman" w:hAnsi="Times New Roman" w:cs="Times New Roman"/>
                <w:i/>
                <w:iCs/>
                <w:sz w:val="24"/>
                <w:szCs w:val="24"/>
              </w:rPr>
            </w:pPr>
            <w:r w:rsidRPr="00615FA2">
              <w:rPr>
                <w:rFonts w:ascii="Times New Roman" w:hAnsi="Times New Roman" w:cs="Times New Roman"/>
                <w:i/>
                <w:iCs/>
                <w:sz w:val="24"/>
                <w:szCs w:val="24"/>
              </w:rPr>
              <w:t>Upper 95%</w:t>
            </w:r>
          </w:p>
        </w:tc>
      </w:tr>
      <w:tr w:rsidR="00615FA2" w:rsidRPr="00615FA2" w:rsidTr="00615FA2">
        <w:trPr>
          <w:trHeight w:val="315"/>
        </w:trPr>
        <w:tc>
          <w:tcPr>
            <w:tcW w:w="1631"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Intercept</w:t>
            </w:r>
          </w:p>
        </w:tc>
        <w:tc>
          <w:tcPr>
            <w:tcW w:w="1363"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-14.3275</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16.2728</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-0.88046</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0.381064</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-46.6768</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18.02171</w:t>
            </w:r>
          </w:p>
        </w:tc>
      </w:tr>
      <w:tr w:rsidR="00615FA2" w:rsidRPr="00615FA2" w:rsidTr="00615FA2">
        <w:trPr>
          <w:trHeight w:val="330"/>
        </w:trPr>
        <w:tc>
          <w:tcPr>
            <w:tcW w:w="1631"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SIZE.LIVING</w:t>
            </w:r>
          </w:p>
        </w:tc>
        <w:tc>
          <w:tcPr>
            <w:tcW w:w="1363"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0.974937</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0.049362</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19.75061</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1.04E-33</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0.876808</w:t>
            </w:r>
          </w:p>
        </w:tc>
        <w:tc>
          <w:tcPr>
            <w:tcW w:w="1116" w:type="dxa"/>
            <w:noWrap/>
            <w:hideMark/>
          </w:tcPr>
          <w:p w:rsidR="00615FA2" w:rsidRPr="00615FA2" w:rsidRDefault="00615FA2" w:rsidP="00615FA2">
            <w:pPr>
              <w:jc w:val="both"/>
              <w:rPr>
                <w:rFonts w:ascii="Times New Roman" w:hAnsi="Times New Roman" w:cs="Times New Roman"/>
                <w:sz w:val="24"/>
                <w:szCs w:val="24"/>
              </w:rPr>
            </w:pPr>
            <w:r w:rsidRPr="00615FA2">
              <w:rPr>
                <w:rFonts w:ascii="Times New Roman" w:hAnsi="Times New Roman" w:cs="Times New Roman"/>
                <w:sz w:val="24"/>
                <w:szCs w:val="24"/>
              </w:rPr>
              <w:t>1.073066</w:t>
            </w:r>
          </w:p>
        </w:tc>
      </w:tr>
    </w:tbl>
    <w:p w:rsidR="00615FA2" w:rsidRDefault="00615FA2" w:rsidP="00B12DB7">
      <w:pPr>
        <w:spacing w:line="480" w:lineRule="auto"/>
        <w:jc w:val="both"/>
        <w:rPr>
          <w:rFonts w:ascii="Times New Roman" w:hAnsi="Times New Roman" w:cs="Times New Roman"/>
          <w:sz w:val="24"/>
          <w:szCs w:val="24"/>
        </w:rPr>
      </w:pPr>
    </w:p>
    <w:p w:rsidR="00E7252E" w:rsidRDefault="00E7252E" w:rsidP="00B12DB7">
      <w:pPr>
        <w:spacing w:line="480" w:lineRule="auto"/>
        <w:jc w:val="both"/>
        <w:rPr>
          <w:rFonts w:ascii="Times New Roman" w:hAnsi="Times New Roman" w:cs="Times New Roman"/>
          <w:sz w:val="24"/>
          <w:szCs w:val="24"/>
        </w:rPr>
      </w:pPr>
      <w:r>
        <w:rPr>
          <w:rFonts w:ascii="Times New Roman" w:hAnsi="Times New Roman" w:cs="Times New Roman"/>
          <w:sz w:val="24"/>
          <w:szCs w:val="24"/>
        </w:rPr>
        <w:t>The coefficient of “size.living” is 0.974937 with a p-value of 1.04E-33. The p-value is less than 0.05 implying that the coefficient estimate is statistically significant. The coefficient of the intercept is -14.3275.</w:t>
      </w:r>
    </w:p>
    <w:p w:rsidR="00E7252E" w:rsidRDefault="00E7252E" w:rsidP="00B12DB7">
      <w:pPr>
        <w:spacing w:line="480" w:lineRule="auto"/>
        <w:jc w:val="both"/>
        <w:rPr>
          <w:rFonts w:ascii="Times New Roman" w:hAnsi="Times New Roman" w:cs="Times New Roman"/>
          <w:sz w:val="24"/>
          <w:szCs w:val="24"/>
        </w:rPr>
      </w:pPr>
      <w:r>
        <w:rPr>
          <w:rFonts w:ascii="Times New Roman" w:hAnsi="Times New Roman" w:cs="Times New Roman"/>
          <w:sz w:val="24"/>
          <w:szCs w:val="24"/>
        </w:rPr>
        <w:t>The resulting regression model is given below;</w:t>
      </w:r>
    </w:p>
    <w:p w:rsidR="00E7252E" w:rsidRDefault="00E7252E" w:rsidP="00B12DB7">
      <w:pPr>
        <w:spacing w:line="480" w:lineRule="auto"/>
        <w:jc w:val="both"/>
        <w:rPr>
          <w:rFonts w:ascii="Times New Roman" w:hAnsi="Times New Roman" w:cs="Times New Roman"/>
          <w:sz w:val="24"/>
          <w:szCs w:val="24"/>
        </w:rPr>
      </w:pPr>
      <w:r>
        <w:rPr>
          <w:rFonts w:ascii="Times New Roman" w:hAnsi="Times New Roman" w:cs="Times New Roman"/>
          <w:sz w:val="24"/>
          <w:szCs w:val="24"/>
        </w:rPr>
        <w:tab/>
        <w:t>Y = -14.3275 + 0.974937 X</w:t>
      </w:r>
    </w:p>
    <w:p w:rsidR="00E7252E" w:rsidRDefault="00E7252E" w:rsidP="00B12DB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w:p>
    <w:p w:rsidR="00E7252E" w:rsidRDefault="00E7252E" w:rsidP="00B12DB7">
      <w:pPr>
        <w:spacing w:line="480" w:lineRule="auto"/>
        <w:jc w:val="both"/>
        <w:rPr>
          <w:rFonts w:ascii="Times New Roman" w:hAnsi="Times New Roman" w:cs="Times New Roman"/>
          <w:sz w:val="24"/>
          <w:szCs w:val="24"/>
        </w:rPr>
      </w:pPr>
      <w:r>
        <w:rPr>
          <w:rFonts w:ascii="Times New Roman" w:hAnsi="Times New Roman" w:cs="Times New Roman"/>
          <w:sz w:val="24"/>
          <w:szCs w:val="24"/>
        </w:rPr>
        <w:tab/>
        <w:t>Y – price of the house in thousands of dollars</w:t>
      </w:r>
    </w:p>
    <w:p w:rsidR="00E7252E" w:rsidRDefault="00E7252E" w:rsidP="00B12DB7">
      <w:pPr>
        <w:spacing w:line="480" w:lineRule="auto"/>
        <w:jc w:val="both"/>
        <w:rPr>
          <w:rFonts w:ascii="Times New Roman" w:hAnsi="Times New Roman" w:cs="Times New Roman"/>
          <w:sz w:val="24"/>
          <w:szCs w:val="24"/>
        </w:rPr>
      </w:pPr>
      <w:r>
        <w:rPr>
          <w:rFonts w:ascii="Times New Roman" w:hAnsi="Times New Roman" w:cs="Times New Roman"/>
          <w:sz w:val="24"/>
          <w:szCs w:val="24"/>
        </w:rPr>
        <w:tab/>
        <w:t>X – size of living space in the house.</w:t>
      </w:r>
    </w:p>
    <w:p w:rsidR="00B321B6" w:rsidRPr="00B12DB7" w:rsidRDefault="00B321B6" w:rsidP="00B12DB7">
      <w:pPr>
        <w:spacing w:line="480" w:lineRule="auto"/>
        <w:jc w:val="both"/>
        <w:rPr>
          <w:rFonts w:ascii="Times New Roman" w:hAnsi="Times New Roman" w:cs="Times New Roman"/>
          <w:sz w:val="24"/>
          <w:szCs w:val="24"/>
        </w:rPr>
      </w:pPr>
    </w:p>
    <w:p w:rsidR="00F260E0" w:rsidRPr="00A973EA" w:rsidRDefault="00F260E0" w:rsidP="00B12DB7">
      <w:pPr>
        <w:spacing w:line="480" w:lineRule="auto"/>
        <w:jc w:val="both"/>
        <w:rPr>
          <w:rFonts w:ascii="Times New Roman" w:hAnsi="Times New Roman" w:cs="Times New Roman"/>
          <w:b/>
          <w:sz w:val="24"/>
          <w:szCs w:val="24"/>
        </w:rPr>
      </w:pPr>
      <w:r w:rsidRPr="00A973EA">
        <w:rPr>
          <w:rFonts w:ascii="Times New Roman" w:hAnsi="Times New Roman" w:cs="Times New Roman"/>
          <w:b/>
          <w:sz w:val="24"/>
          <w:szCs w:val="24"/>
        </w:rPr>
        <w:lastRenderedPageBreak/>
        <w:t>RESIDUALS VS FITTED VALUES</w:t>
      </w:r>
    </w:p>
    <w:p w:rsidR="00F260E0" w:rsidRPr="00B12DB7" w:rsidRDefault="00E81735"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plot of residuals vs fitted values is as shown below;</w:t>
      </w:r>
    </w:p>
    <w:p w:rsidR="00C25E5E" w:rsidRDefault="00615FA2" w:rsidP="00C25E5E">
      <w:pPr>
        <w:spacing w:line="240" w:lineRule="auto"/>
        <w:jc w:val="both"/>
        <w:rPr>
          <w:rFonts w:ascii="Times New Roman" w:hAnsi="Times New Roman" w:cs="Times New Roman"/>
          <w:sz w:val="24"/>
          <w:szCs w:val="24"/>
        </w:rPr>
      </w:pPr>
      <w:r>
        <w:rPr>
          <w:noProof/>
        </w:rPr>
        <w:drawing>
          <wp:inline distT="0" distB="0" distL="0" distR="0" wp14:anchorId="12F7DC76" wp14:editId="7C898537">
            <wp:extent cx="4229100" cy="20383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Start w:id="0" w:name="_GoBack"/>
      <w:bookmarkEnd w:id="0"/>
    </w:p>
    <w:p w:rsidR="00C25E5E" w:rsidRPr="00C25E5E" w:rsidRDefault="00C25E5E" w:rsidP="00C25E5E">
      <w:pPr>
        <w:spacing w:line="240" w:lineRule="auto"/>
        <w:jc w:val="both"/>
        <w:rPr>
          <w:rFonts w:ascii="Times New Roman" w:hAnsi="Times New Roman" w:cs="Times New Roman"/>
          <w:i/>
          <w:sz w:val="24"/>
          <w:szCs w:val="24"/>
        </w:rPr>
      </w:pPr>
      <w:r w:rsidRPr="00C25E5E">
        <w:rPr>
          <w:rFonts w:ascii="Times New Roman" w:hAnsi="Times New Roman" w:cs="Times New Roman"/>
          <w:i/>
          <w:sz w:val="24"/>
          <w:szCs w:val="24"/>
        </w:rPr>
        <w:t>Figure 5. Residuals vs Fitted Values</w:t>
      </w:r>
    </w:p>
    <w:p w:rsidR="00157E86" w:rsidRDefault="00F203F3"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In this plot, the residuals</w:t>
      </w:r>
      <w:r w:rsidR="00157E86">
        <w:rPr>
          <w:rFonts w:ascii="Times New Roman" w:hAnsi="Times New Roman" w:cs="Times New Roman"/>
          <w:sz w:val="24"/>
          <w:szCs w:val="24"/>
        </w:rPr>
        <w:t xml:space="preserve"> are clus</w:t>
      </w:r>
      <w:r w:rsidR="00054D89">
        <w:rPr>
          <w:rFonts w:ascii="Times New Roman" w:hAnsi="Times New Roman" w:cs="Times New Roman"/>
          <w:sz w:val="24"/>
          <w:szCs w:val="24"/>
        </w:rPr>
        <w:t xml:space="preserve">tered along the line residuals </w:t>
      </w:r>
      <w:r w:rsidR="00157E86">
        <w:rPr>
          <w:rFonts w:ascii="Times New Roman" w:hAnsi="Times New Roman" w:cs="Times New Roman"/>
          <w:sz w:val="24"/>
          <w:szCs w:val="24"/>
        </w:rPr>
        <w:t>= 0. This implies that the variance of the error term</w:t>
      </w:r>
      <w:r w:rsidR="00C6732F">
        <w:rPr>
          <w:rFonts w:ascii="Times New Roman" w:hAnsi="Times New Roman" w:cs="Times New Roman"/>
          <w:sz w:val="24"/>
          <w:szCs w:val="24"/>
        </w:rPr>
        <w:t xml:space="preserve"> is</w:t>
      </w:r>
      <w:r w:rsidR="00157E86">
        <w:rPr>
          <w:rFonts w:ascii="Times New Roman" w:hAnsi="Times New Roman" w:cs="Times New Roman"/>
          <w:sz w:val="24"/>
          <w:szCs w:val="24"/>
        </w:rPr>
        <w:t xml:space="preserve"> constant and also, the relationship between the dependent and independent variable is linear.</w:t>
      </w:r>
    </w:p>
    <w:p w:rsidR="00F203F3" w:rsidRPr="00B12DB7" w:rsidRDefault="00F203F3" w:rsidP="00B12DB7">
      <w:pPr>
        <w:spacing w:line="480" w:lineRule="auto"/>
        <w:jc w:val="both"/>
        <w:rPr>
          <w:rFonts w:ascii="Times New Roman" w:hAnsi="Times New Roman" w:cs="Times New Roman"/>
          <w:b/>
          <w:sz w:val="24"/>
          <w:szCs w:val="24"/>
        </w:rPr>
      </w:pPr>
      <w:r w:rsidRPr="00B12DB7">
        <w:rPr>
          <w:rFonts w:ascii="Times New Roman" w:hAnsi="Times New Roman" w:cs="Times New Roman"/>
          <w:b/>
          <w:sz w:val="24"/>
          <w:szCs w:val="24"/>
        </w:rPr>
        <w:t>FITTED EQUATION</w:t>
      </w:r>
    </w:p>
    <w:p w:rsidR="00F203F3" w:rsidRPr="00B12DB7" w:rsidRDefault="00F203F3"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resulting regression equation is as shown below;</w:t>
      </w:r>
    </w:p>
    <w:p w:rsidR="00E7252E" w:rsidRDefault="00157E86" w:rsidP="00B12DB7">
      <w:pPr>
        <w:spacing w:line="480" w:lineRule="auto"/>
        <w:jc w:val="both"/>
        <w:rPr>
          <w:rFonts w:ascii="Cambria Math" w:hAnsi="Cambria Math" w:cs="Times New Roman"/>
          <w:i/>
          <w:sz w:val="24"/>
          <w:szCs w:val="24"/>
        </w:rPr>
      </w:pPr>
      <m:oMathPara>
        <m:oMath>
          <m:r>
            <w:rPr>
              <w:rFonts w:ascii="Cambria Math" w:hAnsi="Cambria Math" w:cs="Times New Roman"/>
              <w:sz w:val="24"/>
              <w:szCs w:val="24"/>
            </w:rPr>
            <m:t>Y = -14.3275 + 0.974937 X</m:t>
          </m:r>
        </m:oMath>
      </m:oMathPara>
    </w:p>
    <w:p w:rsidR="00E7252E" w:rsidRDefault="00E7252E" w:rsidP="00E7252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w:p>
    <w:p w:rsidR="00E7252E" w:rsidRDefault="00E7252E" w:rsidP="00E7252E">
      <w:pPr>
        <w:spacing w:line="480" w:lineRule="auto"/>
        <w:jc w:val="both"/>
        <w:rPr>
          <w:rFonts w:ascii="Times New Roman" w:hAnsi="Times New Roman" w:cs="Times New Roman"/>
          <w:sz w:val="24"/>
          <w:szCs w:val="24"/>
        </w:rPr>
      </w:pPr>
      <w:r>
        <w:rPr>
          <w:rFonts w:ascii="Times New Roman" w:hAnsi="Times New Roman" w:cs="Times New Roman"/>
          <w:sz w:val="24"/>
          <w:szCs w:val="24"/>
        </w:rPr>
        <w:tab/>
        <w:t>Y – price of the house in thousands of dollars</w:t>
      </w:r>
    </w:p>
    <w:p w:rsidR="00E7252E" w:rsidRPr="00B12DB7" w:rsidRDefault="00E7252E" w:rsidP="00E7252E">
      <w:pPr>
        <w:spacing w:line="480" w:lineRule="auto"/>
        <w:jc w:val="both"/>
        <w:rPr>
          <w:rFonts w:ascii="Times New Roman" w:hAnsi="Times New Roman" w:cs="Times New Roman"/>
          <w:sz w:val="24"/>
          <w:szCs w:val="24"/>
        </w:rPr>
      </w:pPr>
      <w:r>
        <w:rPr>
          <w:rFonts w:ascii="Times New Roman" w:hAnsi="Times New Roman" w:cs="Times New Roman"/>
          <w:sz w:val="24"/>
          <w:szCs w:val="24"/>
        </w:rPr>
        <w:tab/>
        <w:t>X – size of living space in the house.</w:t>
      </w:r>
    </w:p>
    <w:p w:rsidR="00CD5AE2" w:rsidRDefault="00F95360"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table below shows some of the predicted values using this regression model</w:t>
      </w:r>
      <w:r w:rsidR="00AA7485" w:rsidRPr="00B12DB7">
        <w:rPr>
          <w:rFonts w:ascii="Times New Roman" w:hAnsi="Times New Roman" w:cs="Times New Roman"/>
          <w:sz w:val="24"/>
          <w:szCs w:val="24"/>
        </w:rPr>
        <w:t>;</w:t>
      </w:r>
    </w:p>
    <w:p w:rsidR="00634A3F" w:rsidRDefault="00634A3F" w:rsidP="00B12DB7">
      <w:pPr>
        <w:spacing w:line="480" w:lineRule="auto"/>
        <w:jc w:val="both"/>
        <w:rPr>
          <w:rFonts w:ascii="Times New Roman" w:hAnsi="Times New Roman" w:cs="Times New Roman"/>
          <w:sz w:val="24"/>
          <w:szCs w:val="24"/>
        </w:rPr>
      </w:pPr>
    </w:p>
    <w:p w:rsidR="00634A3F" w:rsidRPr="00B12DB7" w:rsidRDefault="00634A3F" w:rsidP="00B12DB7">
      <w:pPr>
        <w:spacing w:line="480" w:lineRule="auto"/>
        <w:jc w:val="both"/>
        <w:rPr>
          <w:rFonts w:ascii="Times New Roman" w:hAnsi="Times New Roman" w:cs="Times New Roman"/>
          <w:sz w:val="24"/>
          <w:szCs w:val="24"/>
        </w:rPr>
      </w:pPr>
    </w:p>
    <w:tbl>
      <w:tblPr>
        <w:tblW w:w="5840" w:type="dxa"/>
        <w:tblLook w:val="04A0" w:firstRow="1" w:lastRow="0" w:firstColumn="1" w:lastColumn="0" w:noHBand="0" w:noVBand="1"/>
      </w:tblPr>
      <w:tblGrid>
        <w:gridCol w:w="1520"/>
        <w:gridCol w:w="1440"/>
        <w:gridCol w:w="2880"/>
      </w:tblGrid>
      <w:tr w:rsidR="00634A3F" w:rsidRPr="009D6075" w:rsidTr="00634A3F">
        <w:trPr>
          <w:trHeight w:val="315"/>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A3F" w:rsidRPr="009D6075" w:rsidRDefault="00634A3F"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SIZE.LIVING</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634A3F" w:rsidRPr="009D6075" w:rsidRDefault="00634A3F"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PRICE('000)</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rsidR="00634A3F" w:rsidRPr="009D6075" w:rsidRDefault="00634A3F"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PREDICTED PRICE ('000)</w:t>
            </w:r>
          </w:p>
        </w:tc>
      </w:tr>
      <w:tr w:rsidR="00634A3F" w:rsidRPr="009D6075" w:rsidTr="00634A3F">
        <w:trPr>
          <w:trHeight w:val="315"/>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349.1</w:t>
            </w:r>
          </w:p>
        </w:tc>
        <w:tc>
          <w:tcPr>
            <w:tcW w:w="1440" w:type="dxa"/>
            <w:tcBorders>
              <w:top w:val="nil"/>
              <w:left w:val="nil"/>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300</w:t>
            </w:r>
          </w:p>
        </w:tc>
        <w:tc>
          <w:tcPr>
            <w:tcW w:w="2880" w:type="dxa"/>
            <w:tcBorders>
              <w:top w:val="nil"/>
              <w:left w:val="nil"/>
              <w:bottom w:val="single" w:sz="4" w:space="0" w:color="auto"/>
              <w:right w:val="single" w:sz="4" w:space="0" w:color="auto"/>
            </w:tcBorders>
            <w:shd w:val="clear" w:color="auto" w:fill="auto"/>
            <w:noWrap/>
            <w:vAlign w:val="bottom"/>
            <w:hideMark/>
          </w:tcPr>
          <w:p w:rsidR="00634A3F" w:rsidRDefault="00634A3F" w:rsidP="00634A3F">
            <w:pPr>
              <w:jc w:val="right"/>
              <w:rPr>
                <w:rFonts w:ascii="Calibri" w:hAnsi="Calibri" w:cs="Calibri"/>
                <w:color w:val="000000"/>
              </w:rPr>
            </w:pPr>
            <w:r>
              <w:rPr>
                <w:rFonts w:ascii="Calibri" w:hAnsi="Calibri" w:cs="Calibri"/>
                <w:color w:val="000000"/>
              </w:rPr>
              <w:t>326.0230067</w:t>
            </w:r>
          </w:p>
        </w:tc>
      </w:tr>
      <w:tr w:rsidR="00634A3F" w:rsidRPr="009D6075" w:rsidTr="00634A3F">
        <w:trPr>
          <w:trHeight w:val="315"/>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351.5</w:t>
            </w:r>
          </w:p>
        </w:tc>
        <w:tc>
          <w:tcPr>
            <w:tcW w:w="1440" w:type="dxa"/>
            <w:tcBorders>
              <w:top w:val="nil"/>
              <w:left w:val="nil"/>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370</w:t>
            </w:r>
          </w:p>
        </w:tc>
        <w:tc>
          <w:tcPr>
            <w:tcW w:w="2880" w:type="dxa"/>
            <w:tcBorders>
              <w:top w:val="nil"/>
              <w:left w:val="nil"/>
              <w:bottom w:val="single" w:sz="4" w:space="0" w:color="auto"/>
              <w:right w:val="single" w:sz="4" w:space="0" w:color="auto"/>
            </w:tcBorders>
            <w:shd w:val="clear" w:color="auto" w:fill="auto"/>
            <w:noWrap/>
            <w:vAlign w:val="bottom"/>
            <w:hideMark/>
          </w:tcPr>
          <w:p w:rsidR="00634A3F" w:rsidRDefault="00634A3F" w:rsidP="00634A3F">
            <w:pPr>
              <w:jc w:val="right"/>
              <w:rPr>
                <w:rFonts w:ascii="Calibri" w:hAnsi="Calibri" w:cs="Calibri"/>
                <w:color w:val="000000"/>
              </w:rPr>
            </w:pPr>
            <w:r>
              <w:rPr>
                <w:rFonts w:ascii="Calibri" w:hAnsi="Calibri" w:cs="Calibri"/>
                <w:color w:val="000000"/>
              </w:rPr>
              <w:t>328.3628555</w:t>
            </w:r>
          </w:p>
        </w:tc>
      </w:tr>
      <w:tr w:rsidR="00634A3F" w:rsidRPr="009D6075" w:rsidTr="00634A3F">
        <w:trPr>
          <w:trHeight w:val="315"/>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217.7</w:t>
            </w:r>
          </w:p>
        </w:tc>
        <w:tc>
          <w:tcPr>
            <w:tcW w:w="1440" w:type="dxa"/>
            <w:tcBorders>
              <w:top w:val="nil"/>
              <w:left w:val="nil"/>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191</w:t>
            </w:r>
          </w:p>
        </w:tc>
        <w:tc>
          <w:tcPr>
            <w:tcW w:w="2880" w:type="dxa"/>
            <w:tcBorders>
              <w:top w:val="nil"/>
              <w:left w:val="nil"/>
              <w:bottom w:val="single" w:sz="4" w:space="0" w:color="auto"/>
              <w:right w:val="single" w:sz="4" w:space="0" w:color="auto"/>
            </w:tcBorders>
            <w:shd w:val="clear" w:color="auto" w:fill="auto"/>
            <w:noWrap/>
            <w:vAlign w:val="bottom"/>
            <w:hideMark/>
          </w:tcPr>
          <w:p w:rsidR="00634A3F" w:rsidRDefault="00634A3F" w:rsidP="00634A3F">
            <w:pPr>
              <w:jc w:val="right"/>
              <w:rPr>
                <w:rFonts w:ascii="Calibri" w:hAnsi="Calibri" w:cs="Calibri"/>
                <w:color w:val="000000"/>
              </w:rPr>
            </w:pPr>
            <w:r>
              <w:rPr>
                <w:rFonts w:ascii="Calibri" w:hAnsi="Calibri" w:cs="Calibri"/>
                <w:color w:val="000000"/>
              </w:rPr>
              <w:t>197.9162849</w:t>
            </w:r>
          </w:p>
        </w:tc>
      </w:tr>
      <w:tr w:rsidR="00634A3F" w:rsidRPr="009D6075" w:rsidTr="00634A3F">
        <w:trPr>
          <w:trHeight w:val="315"/>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231.8</w:t>
            </w:r>
          </w:p>
        </w:tc>
        <w:tc>
          <w:tcPr>
            <w:tcW w:w="1440" w:type="dxa"/>
            <w:tcBorders>
              <w:top w:val="nil"/>
              <w:left w:val="nil"/>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195</w:t>
            </w:r>
          </w:p>
        </w:tc>
        <w:tc>
          <w:tcPr>
            <w:tcW w:w="2880" w:type="dxa"/>
            <w:tcBorders>
              <w:top w:val="nil"/>
              <w:left w:val="nil"/>
              <w:bottom w:val="single" w:sz="4" w:space="0" w:color="auto"/>
              <w:right w:val="single" w:sz="4" w:space="0" w:color="auto"/>
            </w:tcBorders>
            <w:shd w:val="clear" w:color="auto" w:fill="auto"/>
            <w:noWrap/>
            <w:vAlign w:val="bottom"/>
            <w:hideMark/>
          </w:tcPr>
          <w:p w:rsidR="00634A3F" w:rsidRDefault="00634A3F" w:rsidP="00634A3F">
            <w:pPr>
              <w:jc w:val="right"/>
              <w:rPr>
                <w:rFonts w:ascii="Calibri" w:hAnsi="Calibri" w:cs="Calibri"/>
                <w:color w:val="000000"/>
              </w:rPr>
            </w:pPr>
            <w:r>
              <w:rPr>
                <w:rFonts w:ascii="Calibri" w:hAnsi="Calibri" w:cs="Calibri"/>
                <w:color w:val="000000"/>
              </w:rPr>
              <w:t>211.6628966</w:t>
            </w:r>
          </w:p>
        </w:tc>
      </w:tr>
      <w:tr w:rsidR="00634A3F" w:rsidRPr="009D6075" w:rsidTr="00634A3F">
        <w:trPr>
          <w:trHeight w:val="33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319.1</w:t>
            </w:r>
          </w:p>
        </w:tc>
        <w:tc>
          <w:tcPr>
            <w:tcW w:w="1440" w:type="dxa"/>
            <w:tcBorders>
              <w:top w:val="nil"/>
              <w:left w:val="nil"/>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373</w:t>
            </w:r>
          </w:p>
        </w:tc>
        <w:tc>
          <w:tcPr>
            <w:tcW w:w="2880" w:type="dxa"/>
            <w:tcBorders>
              <w:top w:val="nil"/>
              <w:left w:val="nil"/>
              <w:bottom w:val="single" w:sz="4" w:space="0" w:color="auto"/>
              <w:right w:val="single" w:sz="4" w:space="0" w:color="auto"/>
            </w:tcBorders>
            <w:shd w:val="clear" w:color="auto" w:fill="auto"/>
            <w:noWrap/>
            <w:vAlign w:val="bottom"/>
            <w:hideMark/>
          </w:tcPr>
          <w:p w:rsidR="00634A3F" w:rsidRDefault="00634A3F" w:rsidP="00634A3F">
            <w:pPr>
              <w:jc w:val="right"/>
              <w:rPr>
                <w:rFonts w:ascii="Calibri" w:hAnsi="Calibri" w:cs="Calibri"/>
                <w:color w:val="000000"/>
              </w:rPr>
            </w:pPr>
            <w:r>
              <w:rPr>
                <w:rFonts w:ascii="Calibri" w:hAnsi="Calibri" w:cs="Calibri"/>
                <w:color w:val="000000"/>
              </w:rPr>
              <w:t>296.7748967</w:t>
            </w:r>
          </w:p>
        </w:tc>
      </w:tr>
      <w:tr w:rsidR="00634A3F" w:rsidRPr="009D6075" w:rsidTr="00634A3F">
        <w:trPr>
          <w:trHeight w:val="315"/>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414.5</w:t>
            </w:r>
          </w:p>
        </w:tc>
        <w:tc>
          <w:tcPr>
            <w:tcW w:w="1440" w:type="dxa"/>
            <w:tcBorders>
              <w:top w:val="nil"/>
              <w:left w:val="nil"/>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466</w:t>
            </w:r>
          </w:p>
        </w:tc>
        <w:tc>
          <w:tcPr>
            <w:tcW w:w="2880" w:type="dxa"/>
            <w:tcBorders>
              <w:top w:val="nil"/>
              <w:left w:val="nil"/>
              <w:bottom w:val="single" w:sz="4" w:space="0" w:color="auto"/>
              <w:right w:val="single" w:sz="4" w:space="0" w:color="auto"/>
            </w:tcBorders>
            <w:shd w:val="clear" w:color="auto" w:fill="auto"/>
            <w:noWrap/>
            <w:vAlign w:val="bottom"/>
            <w:hideMark/>
          </w:tcPr>
          <w:p w:rsidR="00634A3F" w:rsidRDefault="00634A3F" w:rsidP="00634A3F">
            <w:pPr>
              <w:jc w:val="right"/>
              <w:rPr>
                <w:rFonts w:ascii="Calibri" w:hAnsi="Calibri" w:cs="Calibri"/>
                <w:color w:val="000000"/>
              </w:rPr>
            </w:pPr>
            <w:r>
              <w:rPr>
                <w:rFonts w:ascii="Calibri" w:hAnsi="Calibri" w:cs="Calibri"/>
                <w:color w:val="000000"/>
              </w:rPr>
              <w:t>389.7838865</w:t>
            </w:r>
          </w:p>
        </w:tc>
      </w:tr>
      <w:tr w:rsidR="00634A3F" w:rsidRPr="009D6075" w:rsidTr="00634A3F">
        <w:trPr>
          <w:trHeight w:val="315"/>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367.8</w:t>
            </w:r>
          </w:p>
        </w:tc>
        <w:tc>
          <w:tcPr>
            <w:tcW w:w="1440" w:type="dxa"/>
            <w:tcBorders>
              <w:top w:val="nil"/>
              <w:left w:val="nil"/>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332</w:t>
            </w:r>
          </w:p>
        </w:tc>
        <w:tc>
          <w:tcPr>
            <w:tcW w:w="2880" w:type="dxa"/>
            <w:tcBorders>
              <w:top w:val="nil"/>
              <w:left w:val="nil"/>
              <w:bottom w:val="single" w:sz="4" w:space="0" w:color="auto"/>
              <w:right w:val="single" w:sz="4" w:space="0" w:color="auto"/>
            </w:tcBorders>
            <w:shd w:val="clear" w:color="auto" w:fill="auto"/>
            <w:noWrap/>
            <w:vAlign w:val="bottom"/>
            <w:hideMark/>
          </w:tcPr>
          <w:p w:rsidR="00634A3F" w:rsidRDefault="00634A3F" w:rsidP="00634A3F">
            <w:pPr>
              <w:jc w:val="right"/>
              <w:rPr>
                <w:rFonts w:ascii="Calibri" w:hAnsi="Calibri" w:cs="Calibri"/>
                <w:color w:val="000000"/>
              </w:rPr>
            </w:pPr>
            <w:r>
              <w:rPr>
                <w:rFonts w:ascii="Calibri" w:hAnsi="Calibri" w:cs="Calibri"/>
                <w:color w:val="000000"/>
              </w:rPr>
              <w:t>344.2543286</w:t>
            </w:r>
          </w:p>
        </w:tc>
      </w:tr>
      <w:tr w:rsidR="00634A3F" w:rsidRPr="009D6075" w:rsidTr="00634A3F">
        <w:trPr>
          <w:trHeight w:val="315"/>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300.2</w:t>
            </w:r>
          </w:p>
        </w:tc>
        <w:tc>
          <w:tcPr>
            <w:tcW w:w="1440" w:type="dxa"/>
            <w:tcBorders>
              <w:top w:val="nil"/>
              <w:left w:val="nil"/>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315</w:t>
            </w:r>
          </w:p>
        </w:tc>
        <w:tc>
          <w:tcPr>
            <w:tcW w:w="2880" w:type="dxa"/>
            <w:tcBorders>
              <w:top w:val="nil"/>
              <w:left w:val="nil"/>
              <w:bottom w:val="single" w:sz="4" w:space="0" w:color="auto"/>
              <w:right w:val="single" w:sz="4" w:space="0" w:color="auto"/>
            </w:tcBorders>
            <w:shd w:val="clear" w:color="auto" w:fill="auto"/>
            <w:noWrap/>
            <w:vAlign w:val="bottom"/>
            <w:hideMark/>
          </w:tcPr>
          <w:p w:rsidR="00634A3F" w:rsidRDefault="00634A3F" w:rsidP="00634A3F">
            <w:pPr>
              <w:jc w:val="right"/>
              <w:rPr>
                <w:rFonts w:ascii="Calibri" w:hAnsi="Calibri" w:cs="Calibri"/>
                <w:color w:val="000000"/>
              </w:rPr>
            </w:pPr>
            <w:r>
              <w:rPr>
                <w:rFonts w:ascii="Calibri" w:hAnsi="Calibri" w:cs="Calibri"/>
                <w:color w:val="000000"/>
              </w:rPr>
              <w:t>278.3485874</w:t>
            </w:r>
          </w:p>
        </w:tc>
      </w:tr>
      <w:tr w:rsidR="00634A3F" w:rsidRPr="009D6075" w:rsidTr="00634A3F">
        <w:trPr>
          <w:trHeight w:val="315"/>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236.1</w:t>
            </w:r>
          </w:p>
        </w:tc>
        <w:tc>
          <w:tcPr>
            <w:tcW w:w="1440" w:type="dxa"/>
            <w:tcBorders>
              <w:top w:val="nil"/>
              <w:left w:val="nil"/>
              <w:bottom w:val="single" w:sz="4" w:space="0" w:color="auto"/>
              <w:right w:val="single" w:sz="4" w:space="0" w:color="auto"/>
            </w:tcBorders>
            <w:shd w:val="clear" w:color="auto" w:fill="auto"/>
            <w:noWrap/>
            <w:vAlign w:val="center"/>
            <w:hideMark/>
          </w:tcPr>
          <w:p w:rsidR="00634A3F" w:rsidRPr="009D6075" w:rsidRDefault="00634A3F" w:rsidP="00634A3F">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206</w:t>
            </w:r>
          </w:p>
        </w:tc>
        <w:tc>
          <w:tcPr>
            <w:tcW w:w="2880" w:type="dxa"/>
            <w:tcBorders>
              <w:top w:val="nil"/>
              <w:left w:val="nil"/>
              <w:bottom w:val="single" w:sz="4" w:space="0" w:color="auto"/>
              <w:right w:val="single" w:sz="4" w:space="0" w:color="auto"/>
            </w:tcBorders>
            <w:shd w:val="clear" w:color="auto" w:fill="auto"/>
            <w:noWrap/>
            <w:vAlign w:val="bottom"/>
            <w:hideMark/>
          </w:tcPr>
          <w:p w:rsidR="00634A3F" w:rsidRDefault="00634A3F" w:rsidP="00634A3F">
            <w:pPr>
              <w:jc w:val="right"/>
              <w:rPr>
                <w:rFonts w:ascii="Calibri" w:hAnsi="Calibri" w:cs="Calibri"/>
                <w:color w:val="000000"/>
              </w:rPr>
            </w:pPr>
            <w:r>
              <w:rPr>
                <w:rFonts w:ascii="Calibri" w:hAnsi="Calibri" w:cs="Calibri"/>
                <w:color w:val="000000"/>
              </w:rPr>
              <w:t>215.8551257</w:t>
            </w:r>
          </w:p>
        </w:tc>
      </w:tr>
    </w:tbl>
    <w:p w:rsidR="00AA7485" w:rsidRPr="00B12DB7" w:rsidRDefault="009D6075"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Table 6. Predicted Values.</w:t>
      </w:r>
    </w:p>
    <w:p w:rsidR="009D6075" w:rsidRPr="00B12DB7" w:rsidRDefault="009D6075"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 xml:space="preserve">The predicted variables are close to the actual values though a small difference. Therefore, this regression model </w:t>
      </w:r>
      <w:r w:rsidR="00626467" w:rsidRPr="00B12DB7">
        <w:rPr>
          <w:rFonts w:ascii="Times New Roman" w:hAnsi="Times New Roman" w:cs="Times New Roman"/>
          <w:sz w:val="24"/>
          <w:szCs w:val="24"/>
        </w:rPr>
        <w:t>can hold</w:t>
      </w:r>
      <w:r w:rsidRPr="00B12DB7">
        <w:rPr>
          <w:rFonts w:ascii="Times New Roman" w:hAnsi="Times New Roman" w:cs="Times New Roman"/>
          <w:sz w:val="24"/>
          <w:szCs w:val="24"/>
        </w:rPr>
        <w:t xml:space="preserve"> up as a predictor model for the price of a house.</w:t>
      </w:r>
    </w:p>
    <w:p w:rsidR="001F763B" w:rsidRPr="00B12DB7" w:rsidRDefault="001F763B" w:rsidP="00B12DB7">
      <w:pPr>
        <w:spacing w:line="480" w:lineRule="auto"/>
        <w:jc w:val="both"/>
        <w:rPr>
          <w:rFonts w:ascii="Times New Roman" w:hAnsi="Times New Roman" w:cs="Times New Roman"/>
          <w:b/>
          <w:sz w:val="24"/>
          <w:szCs w:val="24"/>
        </w:rPr>
      </w:pPr>
      <w:r w:rsidRPr="00B12DB7">
        <w:rPr>
          <w:rFonts w:ascii="Times New Roman" w:hAnsi="Times New Roman" w:cs="Times New Roman"/>
          <w:b/>
          <w:sz w:val="24"/>
          <w:szCs w:val="24"/>
        </w:rPr>
        <w:t>CONCLUSION</w:t>
      </w:r>
    </w:p>
    <w:p w:rsidR="001F763B" w:rsidRPr="00B12DB7" w:rsidRDefault="001F763B"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 xml:space="preserve">This regression model is a good fit for the data on house prices. This is because it has a high explanatory power and also the </w:t>
      </w:r>
      <w:r w:rsidR="00634A3F">
        <w:rPr>
          <w:rFonts w:ascii="Times New Roman" w:hAnsi="Times New Roman" w:cs="Times New Roman"/>
          <w:sz w:val="24"/>
          <w:szCs w:val="24"/>
        </w:rPr>
        <w:t xml:space="preserve">significant </w:t>
      </w:r>
      <w:r w:rsidRPr="00B12DB7">
        <w:rPr>
          <w:rFonts w:ascii="Times New Roman" w:hAnsi="Times New Roman" w:cs="Times New Roman"/>
          <w:sz w:val="24"/>
          <w:szCs w:val="24"/>
        </w:rPr>
        <w:t>explanator</w:t>
      </w:r>
      <w:r w:rsidR="00634A3F">
        <w:rPr>
          <w:rFonts w:ascii="Times New Roman" w:hAnsi="Times New Roman" w:cs="Times New Roman"/>
          <w:sz w:val="24"/>
          <w:szCs w:val="24"/>
        </w:rPr>
        <w:t>y variable explain more than 81</w:t>
      </w:r>
      <w:r w:rsidRPr="00B12DB7">
        <w:rPr>
          <w:rFonts w:ascii="Times New Roman" w:hAnsi="Times New Roman" w:cs="Times New Roman"/>
          <w:sz w:val="24"/>
          <w:szCs w:val="24"/>
        </w:rPr>
        <w:t>% of the variation in the dependent variable. The regression model also has a good prediction power and therefore it can be used as a predictor model.</w:t>
      </w:r>
    </w:p>
    <w:sectPr w:rsidR="001F763B" w:rsidRPr="00B12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505"/>
    <w:rsid w:val="000045A7"/>
    <w:rsid w:val="00014E06"/>
    <w:rsid w:val="00054D89"/>
    <w:rsid w:val="000820B8"/>
    <w:rsid w:val="000B4A44"/>
    <w:rsid w:val="000C49A4"/>
    <w:rsid w:val="00157E86"/>
    <w:rsid w:val="00175ED7"/>
    <w:rsid w:val="001C388D"/>
    <w:rsid w:val="001F763B"/>
    <w:rsid w:val="00214298"/>
    <w:rsid w:val="002C77F5"/>
    <w:rsid w:val="00351964"/>
    <w:rsid w:val="003978F2"/>
    <w:rsid w:val="003C6511"/>
    <w:rsid w:val="0046441C"/>
    <w:rsid w:val="004921A1"/>
    <w:rsid w:val="004B2CE9"/>
    <w:rsid w:val="004E0016"/>
    <w:rsid w:val="00583050"/>
    <w:rsid w:val="005B4C47"/>
    <w:rsid w:val="00615FA2"/>
    <w:rsid w:val="00626467"/>
    <w:rsid w:val="00634A3F"/>
    <w:rsid w:val="006950E0"/>
    <w:rsid w:val="0069769D"/>
    <w:rsid w:val="00724D44"/>
    <w:rsid w:val="007B1569"/>
    <w:rsid w:val="008632C6"/>
    <w:rsid w:val="008871EA"/>
    <w:rsid w:val="008D2856"/>
    <w:rsid w:val="009B57BC"/>
    <w:rsid w:val="009D6075"/>
    <w:rsid w:val="009F0E43"/>
    <w:rsid w:val="00A20505"/>
    <w:rsid w:val="00A70B53"/>
    <w:rsid w:val="00A855A4"/>
    <w:rsid w:val="00A973EA"/>
    <w:rsid w:val="00AA7485"/>
    <w:rsid w:val="00B01731"/>
    <w:rsid w:val="00B12DB7"/>
    <w:rsid w:val="00B3023C"/>
    <w:rsid w:val="00B321B6"/>
    <w:rsid w:val="00C25E5E"/>
    <w:rsid w:val="00C61378"/>
    <w:rsid w:val="00C6732F"/>
    <w:rsid w:val="00CD5AE2"/>
    <w:rsid w:val="00E15726"/>
    <w:rsid w:val="00E7252E"/>
    <w:rsid w:val="00E81735"/>
    <w:rsid w:val="00EE3E31"/>
    <w:rsid w:val="00F203F3"/>
    <w:rsid w:val="00F260E0"/>
    <w:rsid w:val="00F95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718906-1208-4ADC-9314-6609F233E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8D2856"/>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8D2856"/>
    <w:pPr>
      <w:keepNext/>
      <w:keepLines/>
      <w:spacing w:before="40" w:after="0"/>
      <w:ind w:left="72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85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8D2856"/>
    <w:rPr>
      <w:rFonts w:ascii="Times New Roman" w:eastAsiaTheme="majorEastAsia" w:hAnsi="Times New Roman" w:cstheme="majorBidi"/>
      <w:b/>
      <w:sz w:val="24"/>
      <w:szCs w:val="26"/>
    </w:rPr>
  </w:style>
  <w:style w:type="table" w:styleId="TableGrid">
    <w:name w:val="Table Grid"/>
    <w:basedOn w:val="TableNormal"/>
    <w:uiPriority w:val="39"/>
    <w:rsid w:val="005B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203F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194051">
      <w:bodyDiv w:val="1"/>
      <w:marLeft w:val="0"/>
      <w:marRight w:val="0"/>
      <w:marTop w:val="0"/>
      <w:marBottom w:val="0"/>
      <w:divBdr>
        <w:top w:val="none" w:sz="0" w:space="0" w:color="auto"/>
        <w:left w:val="none" w:sz="0" w:space="0" w:color="auto"/>
        <w:bottom w:val="none" w:sz="0" w:space="0" w:color="auto"/>
        <w:right w:val="none" w:sz="0" w:space="0" w:color="auto"/>
      </w:divBdr>
    </w:div>
    <w:div w:id="467279791">
      <w:bodyDiv w:val="1"/>
      <w:marLeft w:val="0"/>
      <w:marRight w:val="0"/>
      <w:marTop w:val="0"/>
      <w:marBottom w:val="0"/>
      <w:divBdr>
        <w:top w:val="none" w:sz="0" w:space="0" w:color="auto"/>
        <w:left w:val="none" w:sz="0" w:space="0" w:color="auto"/>
        <w:bottom w:val="none" w:sz="0" w:space="0" w:color="auto"/>
        <w:right w:val="none" w:sz="0" w:space="0" w:color="auto"/>
      </w:divBdr>
    </w:div>
    <w:div w:id="951593596">
      <w:bodyDiv w:val="1"/>
      <w:marLeft w:val="0"/>
      <w:marRight w:val="0"/>
      <w:marTop w:val="0"/>
      <w:marBottom w:val="0"/>
      <w:divBdr>
        <w:top w:val="none" w:sz="0" w:space="0" w:color="auto"/>
        <w:left w:val="none" w:sz="0" w:space="0" w:color="auto"/>
        <w:bottom w:val="none" w:sz="0" w:space="0" w:color="auto"/>
        <w:right w:val="none" w:sz="0" w:space="0" w:color="auto"/>
      </w:divBdr>
    </w:div>
    <w:div w:id="1017003877">
      <w:bodyDiv w:val="1"/>
      <w:marLeft w:val="0"/>
      <w:marRight w:val="0"/>
      <w:marTop w:val="0"/>
      <w:marBottom w:val="0"/>
      <w:divBdr>
        <w:top w:val="none" w:sz="0" w:space="0" w:color="auto"/>
        <w:left w:val="none" w:sz="0" w:space="0" w:color="auto"/>
        <w:bottom w:val="none" w:sz="0" w:space="0" w:color="auto"/>
        <w:right w:val="none" w:sz="0" w:space="0" w:color="auto"/>
      </w:divBdr>
    </w:div>
    <w:div w:id="1029601389">
      <w:bodyDiv w:val="1"/>
      <w:marLeft w:val="0"/>
      <w:marRight w:val="0"/>
      <w:marTop w:val="0"/>
      <w:marBottom w:val="0"/>
      <w:divBdr>
        <w:top w:val="none" w:sz="0" w:space="0" w:color="auto"/>
        <w:left w:val="none" w:sz="0" w:space="0" w:color="auto"/>
        <w:bottom w:val="none" w:sz="0" w:space="0" w:color="auto"/>
        <w:right w:val="none" w:sz="0" w:space="0" w:color="auto"/>
      </w:divBdr>
    </w:div>
    <w:div w:id="1591505883">
      <w:bodyDiv w:val="1"/>
      <w:marLeft w:val="0"/>
      <w:marRight w:val="0"/>
      <w:marTop w:val="0"/>
      <w:marBottom w:val="0"/>
      <w:divBdr>
        <w:top w:val="none" w:sz="0" w:space="0" w:color="auto"/>
        <w:left w:val="none" w:sz="0" w:space="0" w:color="auto"/>
        <w:bottom w:val="none" w:sz="0" w:space="0" w:color="auto"/>
        <w:right w:val="none" w:sz="0" w:space="0" w:color="auto"/>
      </w:divBdr>
    </w:div>
    <w:div w:id="1763797544">
      <w:bodyDiv w:val="1"/>
      <w:marLeft w:val="0"/>
      <w:marRight w:val="0"/>
      <w:marTop w:val="0"/>
      <w:marBottom w:val="0"/>
      <w:divBdr>
        <w:top w:val="none" w:sz="0" w:space="0" w:color="auto"/>
        <w:left w:val="none" w:sz="0" w:space="0" w:color="auto"/>
        <w:bottom w:val="none" w:sz="0" w:space="0" w:color="auto"/>
        <w:right w:val="none" w:sz="0" w:space="0" w:color="auto"/>
      </w:divBdr>
    </w:div>
    <w:div w:id="1935938379">
      <w:bodyDiv w:val="1"/>
      <w:marLeft w:val="0"/>
      <w:marRight w:val="0"/>
      <w:marTop w:val="0"/>
      <w:marBottom w:val="0"/>
      <w:divBdr>
        <w:top w:val="none" w:sz="0" w:space="0" w:color="auto"/>
        <w:left w:val="none" w:sz="0" w:space="0" w:color="auto"/>
        <w:bottom w:val="none" w:sz="0" w:space="0" w:color="auto"/>
        <w:right w:val="none" w:sz="0" w:space="0" w:color="auto"/>
      </w:divBdr>
    </w:div>
    <w:div w:id="2003655241">
      <w:bodyDiv w:val="1"/>
      <w:marLeft w:val="0"/>
      <w:marRight w:val="0"/>
      <w:marTop w:val="0"/>
      <w:marBottom w:val="0"/>
      <w:divBdr>
        <w:top w:val="none" w:sz="0" w:space="0" w:color="auto"/>
        <w:left w:val="none" w:sz="0" w:space="0" w:color="auto"/>
        <w:bottom w:val="none" w:sz="0" w:space="0" w:color="auto"/>
        <w:right w:val="none" w:sz="0" w:space="0" w:color="auto"/>
      </w:divBdr>
    </w:div>
    <w:div w:id="201668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idelis\Desktop\excymhuhnijmok,\Book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Videlis\Desktop\excymhuhnijmok,\Book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Videlis\Desktop\excymhuhnijmok,\Book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PRICE('000) AND SQRFT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data!$E$1</c:f>
              <c:strCache>
                <c:ptCount val="1"/>
                <c:pt idx="0">
                  <c:v>PRICE('000)</c:v>
                </c:pt>
              </c:strCache>
            </c:strRef>
          </c:tx>
          <c:spPr>
            <a:ln w="19050" cap="rnd">
              <a:noFill/>
              <a:round/>
            </a:ln>
            <a:effectLst/>
          </c:spPr>
          <c:marker>
            <c:symbol val="circle"/>
            <c:size val="5"/>
            <c:spPr>
              <a:solidFill>
                <a:schemeClr val="accent1"/>
              </a:solidFill>
              <a:ln w="9525">
                <a:solidFill>
                  <a:schemeClr val="accent1"/>
                </a:solidFill>
              </a:ln>
              <a:effectLst/>
            </c:spPr>
          </c:marker>
          <c:xVal>
            <c:numRef>
              <c:f>data!$A$2:$A$89</c:f>
              <c:numCache>
                <c:formatCode>General</c:formatCode>
                <c:ptCount val="88"/>
                <c:pt idx="0">
                  <c:v>2438</c:v>
                </c:pt>
                <c:pt idx="1">
                  <c:v>2076</c:v>
                </c:pt>
                <c:pt idx="2">
                  <c:v>1374</c:v>
                </c:pt>
                <c:pt idx="3">
                  <c:v>1448</c:v>
                </c:pt>
                <c:pt idx="4">
                  <c:v>2514</c:v>
                </c:pt>
                <c:pt idx="5">
                  <c:v>2754</c:v>
                </c:pt>
                <c:pt idx="6">
                  <c:v>2067</c:v>
                </c:pt>
                <c:pt idx="7">
                  <c:v>1731</c:v>
                </c:pt>
                <c:pt idx="8">
                  <c:v>1767</c:v>
                </c:pt>
                <c:pt idx="9">
                  <c:v>1890</c:v>
                </c:pt>
                <c:pt idx="10">
                  <c:v>2336</c:v>
                </c:pt>
                <c:pt idx="11">
                  <c:v>2634</c:v>
                </c:pt>
                <c:pt idx="12">
                  <c:v>3375</c:v>
                </c:pt>
                <c:pt idx="13">
                  <c:v>1899</c:v>
                </c:pt>
                <c:pt idx="14">
                  <c:v>2312</c:v>
                </c:pt>
                <c:pt idx="15">
                  <c:v>1760</c:v>
                </c:pt>
                <c:pt idx="16">
                  <c:v>2000</c:v>
                </c:pt>
                <c:pt idx="17">
                  <c:v>1774</c:v>
                </c:pt>
                <c:pt idx="18">
                  <c:v>1376</c:v>
                </c:pt>
                <c:pt idx="19">
                  <c:v>1835</c:v>
                </c:pt>
                <c:pt idx="20">
                  <c:v>2048</c:v>
                </c:pt>
                <c:pt idx="21">
                  <c:v>2124</c:v>
                </c:pt>
                <c:pt idx="22">
                  <c:v>1768</c:v>
                </c:pt>
                <c:pt idx="23">
                  <c:v>1732</c:v>
                </c:pt>
                <c:pt idx="24">
                  <c:v>1440</c:v>
                </c:pt>
                <c:pt idx="25">
                  <c:v>1932</c:v>
                </c:pt>
                <c:pt idx="26">
                  <c:v>1932</c:v>
                </c:pt>
                <c:pt idx="27">
                  <c:v>2106</c:v>
                </c:pt>
                <c:pt idx="28">
                  <c:v>3529</c:v>
                </c:pt>
                <c:pt idx="29">
                  <c:v>2051</c:v>
                </c:pt>
                <c:pt idx="30">
                  <c:v>1573</c:v>
                </c:pt>
                <c:pt idx="31">
                  <c:v>2829</c:v>
                </c:pt>
                <c:pt idx="32">
                  <c:v>1630</c:v>
                </c:pt>
                <c:pt idx="33">
                  <c:v>1840</c:v>
                </c:pt>
                <c:pt idx="34">
                  <c:v>2066</c:v>
                </c:pt>
                <c:pt idx="35">
                  <c:v>1702</c:v>
                </c:pt>
                <c:pt idx="36">
                  <c:v>2750</c:v>
                </c:pt>
                <c:pt idx="37">
                  <c:v>3880</c:v>
                </c:pt>
                <c:pt idx="38">
                  <c:v>1854</c:v>
                </c:pt>
                <c:pt idx="39">
                  <c:v>1421</c:v>
                </c:pt>
                <c:pt idx="40">
                  <c:v>1662</c:v>
                </c:pt>
                <c:pt idx="41">
                  <c:v>3331</c:v>
                </c:pt>
                <c:pt idx="42">
                  <c:v>1656</c:v>
                </c:pt>
                <c:pt idx="43">
                  <c:v>1171</c:v>
                </c:pt>
                <c:pt idx="44">
                  <c:v>2293</c:v>
                </c:pt>
                <c:pt idx="45">
                  <c:v>1764</c:v>
                </c:pt>
                <c:pt idx="46">
                  <c:v>2768</c:v>
                </c:pt>
                <c:pt idx="47">
                  <c:v>3733</c:v>
                </c:pt>
                <c:pt idx="48">
                  <c:v>1536</c:v>
                </c:pt>
                <c:pt idx="49">
                  <c:v>1638</c:v>
                </c:pt>
                <c:pt idx="50">
                  <c:v>1972</c:v>
                </c:pt>
                <c:pt idx="51">
                  <c:v>1478</c:v>
                </c:pt>
                <c:pt idx="52">
                  <c:v>1408</c:v>
                </c:pt>
                <c:pt idx="53">
                  <c:v>1812</c:v>
                </c:pt>
                <c:pt idx="54">
                  <c:v>1722</c:v>
                </c:pt>
                <c:pt idx="55">
                  <c:v>1780</c:v>
                </c:pt>
                <c:pt idx="56">
                  <c:v>1674</c:v>
                </c:pt>
                <c:pt idx="57">
                  <c:v>1850</c:v>
                </c:pt>
                <c:pt idx="58">
                  <c:v>1925</c:v>
                </c:pt>
                <c:pt idx="59">
                  <c:v>2343</c:v>
                </c:pt>
                <c:pt idx="60">
                  <c:v>1567</c:v>
                </c:pt>
                <c:pt idx="61">
                  <c:v>1664</c:v>
                </c:pt>
                <c:pt idx="62">
                  <c:v>1386</c:v>
                </c:pt>
                <c:pt idx="63">
                  <c:v>2617</c:v>
                </c:pt>
                <c:pt idx="64">
                  <c:v>2321</c:v>
                </c:pt>
                <c:pt idx="65">
                  <c:v>2638</c:v>
                </c:pt>
                <c:pt idx="66">
                  <c:v>1915</c:v>
                </c:pt>
                <c:pt idx="67">
                  <c:v>2589</c:v>
                </c:pt>
                <c:pt idx="68">
                  <c:v>2709</c:v>
                </c:pt>
                <c:pt idx="69">
                  <c:v>1587</c:v>
                </c:pt>
                <c:pt idx="70">
                  <c:v>1694</c:v>
                </c:pt>
                <c:pt idx="71">
                  <c:v>1536</c:v>
                </c:pt>
                <c:pt idx="72">
                  <c:v>3662</c:v>
                </c:pt>
                <c:pt idx="73">
                  <c:v>1736</c:v>
                </c:pt>
                <c:pt idx="74">
                  <c:v>2205</c:v>
                </c:pt>
                <c:pt idx="75">
                  <c:v>1502</c:v>
                </c:pt>
                <c:pt idx="76">
                  <c:v>1696</c:v>
                </c:pt>
                <c:pt idx="77">
                  <c:v>2186</c:v>
                </c:pt>
                <c:pt idx="78">
                  <c:v>1928</c:v>
                </c:pt>
                <c:pt idx="79">
                  <c:v>1294</c:v>
                </c:pt>
                <c:pt idx="80">
                  <c:v>1535</c:v>
                </c:pt>
                <c:pt idx="81">
                  <c:v>1980</c:v>
                </c:pt>
                <c:pt idx="82">
                  <c:v>2090</c:v>
                </c:pt>
                <c:pt idx="83">
                  <c:v>1837</c:v>
                </c:pt>
                <c:pt idx="84">
                  <c:v>1715</c:v>
                </c:pt>
                <c:pt idx="85">
                  <c:v>1574</c:v>
                </c:pt>
                <c:pt idx="86">
                  <c:v>1185</c:v>
                </c:pt>
                <c:pt idx="87">
                  <c:v>1774</c:v>
                </c:pt>
              </c:numCache>
            </c:numRef>
          </c:xVal>
          <c:yVal>
            <c:numRef>
              <c:f>data!$E$2:$E$89</c:f>
              <c:numCache>
                <c:formatCode>General</c:formatCode>
                <c:ptCount val="88"/>
                <c:pt idx="0">
                  <c:v>300</c:v>
                </c:pt>
                <c:pt idx="1">
                  <c:v>370</c:v>
                </c:pt>
                <c:pt idx="2">
                  <c:v>191</c:v>
                </c:pt>
                <c:pt idx="3">
                  <c:v>195</c:v>
                </c:pt>
                <c:pt idx="4">
                  <c:v>373</c:v>
                </c:pt>
                <c:pt idx="5">
                  <c:v>466</c:v>
                </c:pt>
                <c:pt idx="6">
                  <c:v>332</c:v>
                </c:pt>
                <c:pt idx="7">
                  <c:v>315</c:v>
                </c:pt>
                <c:pt idx="8">
                  <c:v>206</c:v>
                </c:pt>
                <c:pt idx="9">
                  <c:v>240</c:v>
                </c:pt>
                <c:pt idx="10">
                  <c:v>285</c:v>
                </c:pt>
                <c:pt idx="11">
                  <c:v>300</c:v>
                </c:pt>
                <c:pt idx="12">
                  <c:v>405</c:v>
                </c:pt>
                <c:pt idx="13">
                  <c:v>212</c:v>
                </c:pt>
                <c:pt idx="14">
                  <c:v>265</c:v>
                </c:pt>
                <c:pt idx="15">
                  <c:v>227</c:v>
                </c:pt>
                <c:pt idx="16">
                  <c:v>240</c:v>
                </c:pt>
                <c:pt idx="17">
                  <c:v>285</c:v>
                </c:pt>
                <c:pt idx="18">
                  <c:v>268</c:v>
                </c:pt>
                <c:pt idx="19">
                  <c:v>310</c:v>
                </c:pt>
                <c:pt idx="20">
                  <c:v>266</c:v>
                </c:pt>
                <c:pt idx="21">
                  <c:v>270</c:v>
                </c:pt>
                <c:pt idx="22">
                  <c:v>225</c:v>
                </c:pt>
                <c:pt idx="23">
                  <c:v>150</c:v>
                </c:pt>
                <c:pt idx="24">
                  <c:v>247</c:v>
                </c:pt>
                <c:pt idx="25">
                  <c:v>275</c:v>
                </c:pt>
                <c:pt idx="26">
                  <c:v>230</c:v>
                </c:pt>
                <c:pt idx="27">
                  <c:v>343</c:v>
                </c:pt>
                <c:pt idx="28">
                  <c:v>477</c:v>
                </c:pt>
                <c:pt idx="29">
                  <c:v>350</c:v>
                </c:pt>
                <c:pt idx="30">
                  <c:v>230</c:v>
                </c:pt>
                <c:pt idx="31">
                  <c:v>335</c:v>
                </c:pt>
                <c:pt idx="32">
                  <c:v>251</c:v>
                </c:pt>
                <c:pt idx="33">
                  <c:v>235</c:v>
                </c:pt>
                <c:pt idx="34">
                  <c:v>361</c:v>
                </c:pt>
                <c:pt idx="35">
                  <c:v>190</c:v>
                </c:pt>
                <c:pt idx="36">
                  <c:v>360</c:v>
                </c:pt>
                <c:pt idx="37">
                  <c:v>575</c:v>
                </c:pt>
                <c:pt idx="38">
                  <c:v>209</c:v>
                </c:pt>
                <c:pt idx="39">
                  <c:v>225</c:v>
                </c:pt>
                <c:pt idx="40">
                  <c:v>246</c:v>
                </c:pt>
                <c:pt idx="41">
                  <c:v>713</c:v>
                </c:pt>
                <c:pt idx="42">
                  <c:v>248</c:v>
                </c:pt>
                <c:pt idx="43">
                  <c:v>230</c:v>
                </c:pt>
                <c:pt idx="44">
                  <c:v>375</c:v>
                </c:pt>
                <c:pt idx="45">
                  <c:v>265</c:v>
                </c:pt>
                <c:pt idx="46">
                  <c:v>313</c:v>
                </c:pt>
                <c:pt idx="47">
                  <c:v>417</c:v>
                </c:pt>
                <c:pt idx="48">
                  <c:v>253</c:v>
                </c:pt>
                <c:pt idx="49">
                  <c:v>315</c:v>
                </c:pt>
                <c:pt idx="50">
                  <c:v>264</c:v>
                </c:pt>
                <c:pt idx="51">
                  <c:v>255</c:v>
                </c:pt>
                <c:pt idx="52">
                  <c:v>210</c:v>
                </c:pt>
                <c:pt idx="53">
                  <c:v>180</c:v>
                </c:pt>
                <c:pt idx="54">
                  <c:v>250</c:v>
                </c:pt>
                <c:pt idx="55">
                  <c:v>250</c:v>
                </c:pt>
                <c:pt idx="56">
                  <c:v>209</c:v>
                </c:pt>
                <c:pt idx="57">
                  <c:v>258</c:v>
                </c:pt>
                <c:pt idx="58">
                  <c:v>289</c:v>
                </c:pt>
                <c:pt idx="59">
                  <c:v>316</c:v>
                </c:pt>
                <c:pt idx="60">
                  <c:v>225</c:v>
                </c:pt>
                <c:pt idx="61">
                  <c:v>266</c:v>
                </c:pt>
                <c:pt idx="62">
                  <c:v>310</c:v>
                </c:pt>
                <c:pt idx="63">
                  <c:v>471</c:v>
                </c:pt>
                <c:pt idx="64">
                  <c:v>335</c:v>
                </c:pt>
                <c:pt idx="65">
                  <c:v>495</c:v>
                </c:pt>
                <c:pt idx="66">
                  <c:v>279</c:v>
                </c:pt>
                <c:pt idx="67">
                  <c:v>380</c:v>
                </c:pt>
                <c:pt idx="68">
                  <c:v>325</c:v>
                </c:pt>
                <c:pt idx="69">
                  <c:v>220</c:v>
                </c:pt>
                <c:pt idx="70">
                  <c:v>215</c:v>
                </c:pt>
                <c:pt idx="71">
                  <c:v>240</c:v>
                </c:pt>
                <c:pt idx="72">
                  <c:v>725</c:v>
                </c:pt>
                <c:pt idx="73">
                  <c:v>230</c:v>
                </c:pt>
                <c:pt idx="74">
                  <c:v>306</c:v>
                </c:pt>
                <c:pt idx="75">
                  <c:v>425</c:v>
                </c:pt>
                <c:pt idx="76">
                  <c:v>318</c:v>
                </c:pt>
                <c:pt idx="77">
                  <c:v>330</c:v>
                </c:pt>
                <c:pt idx="78">
                  <c:v>246</c:v>
                </c:pt>
                <c:pt idx="79">
                  <c:v>225</c:v>
                </c:pt>
                <c:pt idx="80">
                  <c:v>111</c:v>
                </c:pt>
                <c:pt idx="81">
                  <c:v>268</c:v>
                </c:pt>
                <c:pt idx="82">
                  <c:v>244</c:v>
                </c:pt>
                <c:pt idx="83">
                  <c:v>295</c:v>
                </c:pt>
                <c:pt idx="84">
                  <c:v>236</c:v>
                </c:pt>
                <c:pt idx="85">
                  <c:v>202</c:v>
                </c:pt>
                <c:pt idx="86">
                  <c:v>219</c:v>
                </c:pt>
                <c:pt idx="87">
                  <c:v>242</c:v>
                </c:pt>
              </c:numCache>
            </c:numRef>
          </c:yVal>
          <c:smooth val="0"/>
          <c:extLst>
            <c:ext xmlns:c16="http://schemas.microsoft.com/office/drawing/2014/chart" uri="{C3380CC4-5D6E-409C-BE32-E72D297353CC}">
              <c16:uniqueId val="{00000000-3BD4-464E-8409-369422D649D1}"/>
            </c:ext>
          </c:extLst>
        </c:ser>
        <c:dLbls>
          <c:showLegendKey val="0"/>
          <c:showVal val="0"/>
          <c:showCatName val="0"/>
          <c:showSerName val="0"/>
          <c:showPercent val="0"/>
          <c:showBubbleSize val="0"/>
        </c:dLbls>
        <c:axId val="2085744255"/>
        <c:axId val="2085748415"/>
      </c:scatterChart>
      <c:valAx>
        <c:axId val="208574425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SQRFT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748415"/>
        <c:crosses val="autoZero"/>
        <c:crossBetween val="midCat"/>
      </c:valAx>
      <c:valAx>
        <c:axId val="20857484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744255"/>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PRICE('000) AND SIZE.LIVING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data!$E$1</c:f>
              <c:strCache>
                <c:ptCount val="1"/>
                <c:pt idx="0">
                  <c:v>PRICE('000)</c:v>
                </c:pt>
              </c:strCache>
            </c:strRef>
          </c:tx>
          <c:spPr>
            <a:ln w="19050" cap="rnd">
              <a:noFill/>
              <a:round/>
            </a:ln>
            <a:effectLst/>
          </c:spPr>
          <c:marker>
            <c:symbol val="circle"/>
            <c:size val="5"/>
            <c:spPr>
              <a:solidFill>
                <a:schemeClr val="accent1"/>
              </a:solidFill>
              <a:ln w="9525">
                <a:solidFill>
                  <a:schemeClr val="accent1"/>
                </a:solidFill>
              </a:ln>
              <a:effectLst/>
            </c:spPr>
          </c:marker>
          <c:xVal>
            <c:numRef>
              <c:f>data!$B$2:$B$89</c:f>
              <c:numCache>
                <c:formatCode>General</c:formatCode>
                <c:ptCount val="88"/>
                <c:pt idx="0">
                  <c:v>349.1</c:v>
                </c:pt>
                <c:pt idx="1">
                  <c:v>351.5</c:v>
                </c:pt>
                <c:pt idx="2">
                  <c:v>217.7</c:v>
                </c:pt>
                <c:pt idx="3">
                  <c:v>231.8</c:v>
                </c:pt>
                <c:pt idx="4">
                  <c:v>319.10000000000002</c:v>
                </c:pt>
                <c:pt idx="5">
                  <c:v>414.5</c:v>
                </c:pt>
                <c:pt idx="6">
                  <c:v>367.8</c:v>
                </c:pt>
                <c:pt idx="7">
                  <c:v>300.2</c:v>
                </c:pt>
                <c:pt idx="8">
                  <c:v>236.1</c:v>
                </c:pt>
                <c:pt idx="9">
                  <c:v>256.3</c:v>
                </c:pt>
                <c:pt idx="10">
                  <c:v>314</c:v>
                </c:pt>
                <c:pt idx="11">
                  <c:v>416.5</c:v>
                </c:pt>
                <c:pt idx="12">
                  <c:v>434</c:v>
                </c:pt>
                <c:pt idx="13">
                  <c:v>279.3</c:v>
                </c:pt>
                <c:pt idx="14">
                  <c:v>287.5</c:v>
                </c:pt>
                <c:pt idx="15">
                  <c:v>232.9</c:v>
                </c:pt>
                <c:pt idx="16">
                  <c:v>303.8</c:v>
                </c:pt>
                <c:pt idx="17">
                  <c:v>305.60000000000002</c:v>
                </c:pt>
                <c:pt idx="18">
                  <c:v>266.7</c:v>
                </c:pt>
                <c:pt idx="19">
                  <c:v>326</c:v>
                </c:pt>
                <c:pt idx="20">
                  <c:v>294.3</c:v>
                </c:pt>
                <c:pt idx="21">
                  <c:v>318.8</c:v>
                </c:pt>
                <c:pt idx="22">
                  <c:v>294.2</c:v>
                </c:pt>
                <c:pt idx="23">
                  <c:v>208</c:v>
                </c:pt>
                <c:pt idx="24">
                  <c:v>239.7</c:v>
                </c:pt>
                <c:pt idx="25">
                  <c:v>294.10000000000002</c:v>
                </c:pt>
                <c:pt idx="26">
                  <c:v>267.39999999999998</c:v>
                </c:pt>
                <c:pt idx="27">
                  <c:v>359.9</c:v>
                </c:pt>
                <c:pt idx="28">
                  <c:v>478.1</c:v>
                </c:pt>
                <c:pt idx="29">
                  <c:v>355.3</c:v>
                </c:pt>
                <c:pt idx="30">
                  <c:v>217.8</c:v>
                </c:pt>
                <c:pt idx="31">
                  <c:v>385</c:v>
                </c:pt>
                <c:pt idx="32">
                  <c:v>224.3</c:v>
                </c:pt>
                <c:pt idx="33">
                  <c:v>251.9</c:v>
                </c:pt>
                <c:pt idx="34">
                  <c:v>354.9</c:v>
                </c:pt>
                <c:pt idx="35">
                  <c:v>212.5</c:v>
                </c:pt>
                <c:pt idx="36">
                  <c:v>452.4</c:v>
                </c:pt>
                <c:pt idx="37">
                  <c:v>518.1</c:v>
                </c:pt>
                <c:pt idx="38">
                  <c:v>289.39999999999998</c:v>
                </c:pt>
                <c:pt idx="39">
                  <c:v>268.10000000000002</c:v>
                </c:pt>
                <c:pt idx="40">
                  <c:v>278.5</c:v>
                </c:pt>
                <c:pt idx="41">
                  <c:v>655.4</c:v>
                </c:pt>
                <c:pt idx="42">
                  <c:v>273.3</c:v>
                </c:pt>
                <c:pt idx="43">
                  <c:v>212.1</c:v>
                </c:pt>
                <c:pt idx="44">
                  <c:v>354</c:v>
                </c:pt>
                <c:pt idx="45">
                  <c:v>252.1</c:v>
                </c:pt>
                <c:pt idx="46">
                  <c:v>324</c:v>
                </c:pt>
                <c:pt idx="47">
                  <c:v>475.5</c:v>
                </c:pt>
                <c:pt idx="48">
                  <c:v>256.8</c:v>
                </c:pt>
                <c:pt idx="49">
                  <c:v>279.2</c:v>
                </c:pt>
                <c:pt idx="50">
                  <c:v>313.89999999999998</c:v>
                </c:pt>
                <c:pt idx="51">
                  <c:v>279.8</c:v>
                </c:pt>
                <c:pt idx="52">
                  <c:v>198.7</c:v>
                </c:pt>
                <c:pt idx="53">
                  <c:v>221.5</c:v>
                </c:pt>
                <c:pt idx="54">
                  <c:v>268.39999999999998</c:v>
                </c:pt>
                <c:pt idx="55">
                  <c:v>282.3</c:v>
                </c:pt>
                <c:pt idx="56">
                  <c:v>230.7</c:v>
                </c:pt>
                <c:pt idx="57">
                  <c:v>287</c:v>
                </c:pt>
                <c:pt idx="58">
                  <c:v>298.7</c:v>
                </c:pt>
                <c:pt idx="59">
                  <c:v>314.60000000000002</c:v>
                </c:pt>
                <c:pt idx="60">
                  <c:v>291</c:v>
                </c:pt>
                <c:pt idx="61">
                  <c:v>286.39999999999998</c:v>
                </c:pt>
                <c:pt idx="62">
                  <c:v>253.6</c:v>
                </c:pt>
                <c:pt idx="63">
                  <c:v>482</c:v>
                </c:pt>
                <c:pt idx="64">
                  <c:v>384.3</c:v>
                </c:pt>
                <c:pt idx="65">
                  <c:v>543.6</c:v>
                </c:pt>
                <c:pt idx="66">
                  <c:v>336.5</c:v>
                </c:pt>
                <c:pt idx="67">
                  <c:v>515.5</c:v>
                </c:pt>
                <c:pt idx="68">
                  <c:v>437</c:v>
                </c:pt>
                <c:pt idx="69">
                  <c:v>263.39999999999998</c:v>
                </c:pt>
                <c:pt idx="70">
                  <c:v>300.39999999999998</c:v>
                </c:pt>
                <c:pt idx="71">
                  <c:v>250.7</c:v>
                </c:pt>
                <c:pt idx="72">
                  <c:v>708.6</c:v>
                </c:pt>
                <c:pt idx="73">
                  <c:v>276.3</c:v>
                </c:pt>
                <c:pt idx="74">
                  <c:v>388.6</c:v>
                </c:pt>
                <c:pt idx="75">
                  <c:v>252.5</c:v>
                </c:pt>
                <c:pt idx="76">
                  <c:v>295.2</c:v>
                </c:pt>
                <c:pt idx="77">
                  <c:v>359.5</c:v>
                </c:pt>
                <c:pt idx="78">
                  <c:v>276.2</c:v>
                </c:pt>
                <c:pt idx="79">
                  <c:v>249.8</c:v>
                </c:pt>
                <c:pt idx="80">
                  <c:v>202.4</c:v>
                </c:pt>
                <c:pt idx="81">
                  <c:v>254</c:v>
                </c:pt>
                <c:pt idx="82">
                  <c:v>306.8</c:v>
                </c:pt>
                <c:pt idx="83">
                  <c:v>318.3</c:v>
                </c:pt>
                <c:pt idx="84">
                  <c:v>259.39999999999998</c:v>
                </c:pt>
                <c:pt idx="85">
                  <c:v>258.10000000000002</c:v>
                </c:pt>
                <c:pt idx="86">
                  <c:v>232</c:v>
                </c:pt>
                <c:pt idx="87">
                  <c:v>252</c:v>
                </c:pt>
              </c:numCache>
            </c:numRef>
          </c:xVal>
          <c:yVal>
            <c:numRef>
              <c:f>data!$E$2:$E$89</c:f>
              <c:numCache>
                <c:formatCode>General</c:formatCode>
                <c:ptCount val="88"/>
                <c:pt idx="0">
                  <c:v>300</c:v>
                </c:pt>
                <c:pt idx="1">
                  <c:v>370</c:v>
                </c:pt>
                <c:pt idx="2">
                  <c:v>191</c:v>
                </c:pt>
                <c:pt idx="3">
                  <c:v>195</c:v>
                </c:pt>
                <c:pt idx="4">
                  <c:v>373</c:v>
                </c:pt>
                <c:pt idx="5">
                  <c:v>466</c:v>
                </c:pt>
                <c:pt idx="6">
                  <c:v>332</c:v>
                </c:pt>
                <c:pt idx="7">
                  <c:v>315</c:v>
                </c:pt>
                <c:pt idx="8">
                  <c:v>206</c:v>
                </c:pt>
                <c:pt idx="9">
                  <c:v>240</c:v>
                </c:pt>
                <c:pt idx="10">
                  <c:v>285</c:v>
                </c:pt>
                <c:pt idx="11">
                  <c:v>300</c:v>
                </c:pt>
                <c:pt idx="12">
                  <c:v>405</c:v>
                </c:pt>
                <c:pt idx="13">
                  <c:v>212</c:v>
                </c:pt>
                <c:pt idx="14">
                  <c:v>265</c:v>
                </c:pt>
                <c:pt idx="15">
                  <c:v>227</c:v>
                </c:pt>
                <c:pt idx="16">
                  <c:v>240</c:v>
                </c:pt>
                <c:pt idx="17">
                  <c:v>285</c:v>
                </c:pt>
                <c:pt idx="18">
                  <c:v>268</c:v>
                </c:pt>
                <c:pt idx="19">
                  <c:v>310</c:v>
                </c:pt>
                <c:pt idx="20">
                  <c:v>266</c:v>
                </c:pt>
                <c:pt idx="21">
                  <c:v>270</c:v>
                </c:pt>
                <c:pt idx="22">
                  <c:v>225</c:v>
                </c:pt>
                <c:pt idx="23">
                  <c:v>150</c:v>
                </c:pt>
                <c:pt idx="24">
                  <c:v>247</c:v>
                </c:pt>
                <c:pt idx="25">
                  <c:v>275</c:v>
                </c:pt>
                <c:pt idx="26">
                  <c:v>230</c:v>
                </c:pt>
                <c:pt idx="27">
                  <c:v>343</c:v>
                </c:pt>
                <c:pt idx="28">
                  <c:v>477</c:v>
                </c:pt>
                <c:pt idx="29">
                  <c:v>350</c:v>
                </c:pt>
                <c:pt idx="30">
                  <c:v>230</c:v>
                </c:pt>
                <c:pt idx="31">
                  <c:v>335</c:v>
                </c:pt>
                <c:pt idx="32">
                  <c:v>251</c:v>
                </c:pt>
                <c:pt idx="33">
                  <c:v>235</c:v>
                </c:pt>
                <c:pt idx="34">
                  <c:v>361</c:v>
                </c:pt>
                <c:pt idx="35">
                  <c:v>190</c:v>
                </c:pt>
                <c:pt idx="36">
                  <c:v>360</c:v>
                </c:pt>
                <c:pt idx="37">
                  <c:v>575</c:v>
                </c:pt>
                <c:pt idx="38">
                  <c:v>209</c:v>
                </c:pt>
                <c:pt idx="39">
                  <c:v>225</c:v>
                </c:pt>
                <c:pt idx="40">
                  <c:v>246</c:v>
                </c:pt>
                <c:pt idx="41">
                  <c:v>713</c:v>
                </c:pt>
                <c:pt idx="42">
                  <c:v>248</c:v>
                </c:pt>
                <c:pt idx="43">
                  <c:v>230</c:v>
                </c:pt>
                <c:pt idx="44">
                  <c:v>375</c:v>
                </c:pt>
                <c:pt idx="45">
                  <c:v>265</c:v>
                </c:pt>
                <c:pt idx="46">
                  <c:v>313</c:v>
                </c:pt>
                <c:pt idx="47">
                  <c:v>417</c:v>
                </c:pt>
                <c:pt idx="48">
                  <c:v>253</c:v>
                </c:pt>
                <c:pt idx="49">
                  <c:v>315</c:v>
                </c:pt>
                <c:pt idx="50">
                  <c:v>264</c:v>
                </c:pt>
                <c:pt idx="51">
                  <c:v>255</c:v>
                </c:pt>
                <c:pt idx="52">
                  <c:v>210</c:v>
                </c:pt>
                <c:pt idx="53">
                  <c:v>180</c:v>
                </c:pt>
                <c:pt idx="54">
                  <c:v>250</c:v>
                </c:pt>
                <c:pt idx="55">
                  <c:v>250</c:v>
                </c:pt>
                <c:pt idx="56">
                  <c:v>209</c:v>
                </c:pt>
                <c:pt idx="57">
                  <c:v>258</c:v>
                </c:pt>
                <c:pt idx="58">
                  <c:v>289</c:v>
                </c:pt>
                <c:pt idx="59">
                  <c:v>316</c:v>
                </c:pt>
                <c:pt idx="60">
                  <c:v>225</c:v>
                </c:pt>
                <c:pt idx="61">
                  <c:v>266</c:v>
                </c:pt>
                <c:pt idx="62">
                  <c:v>310</c:v>
                </c:pt>
                <c:pt idx="63">
                  <c:v>471</c:v>
                </c:pt>
                <c:pt idx="64">
                  <c:v>335</c:v>
                </c:pt>
                <c:pt idx="65">
                  <c:v>495</c:v>
                </c:pt>
                <c:pt idx="66">
                  <c:v>279</c:v>
                </c:pt>
                <c:pt idx="67">
                  <c:v>380</c:v>
                </c:pt>
                <c:pt idx="68">
                  <c:v>325</c:v>
                </c:pt>
                <c:pt idx="69">
                  <c:v>220</c:v>
                </c:pt>
                <c:pt idx="70">
                  <c:v>215</c:v>
                </c:pt>
                <c:pt idx="71">
                  <c:v>240</c:v>
                </c:pt>
                <c:pt idx="72">
                  <c:v>725</c:v>
                </c:pt>
                <c:pt idx="73">
                  <c:v>230</c:v>
                </c:pt>
                <c:pt idx="74">
                  <c:v>306</c:v>
                </c:pt>
                <c:pt idx="75">
                  <c:v>425</c:v>
                </c:pt>
                <c:pt idx="76">
                  <c:v>318</c:v>
                </c:pt>
                <c:pt idx="77">
                  <c:v>330</c:v>
                </c:pt>
                <c:pt idx="78">
                  <c:v>246</c:v>
                </c:pt>
                <c:pt idx="79">
                  <c:v>225</c:v>
                </c:pt>
                <c:pt idx="80">
                  <c:v>111</c:v>
                </c:pt>
                <c:pt idx="81">
                  <c:v>268</c:v>
                </c:pt>
                <c:pt idx="82">
                  <c:v>244</c:v>
                </c:pt>
                <c:pt idx="83">
                  <c:v>295</c:v>
                </c:pt>
                <c:pt idx="84">
                  <c:v>236</c:v>
                </c:pt>
                <c:pt idx="85">
                  <c:v>202</c:v>
                </c:pt>
                <c:pt idx="86">
                  <c:v>219</c:v>
                </c:pt>
                <c:pt idx="87">
                  <c:v>242</c:v>
                </c:pt>
              </c:numCache>
            </c:numRef>
          </c:yVal>
          <c:smooth val="0"/>
          <c:extLst>
            <c:ext xmlns:c16="http://schemas.microsoft.com/office/drawing/2014/chart" uri="{C3380CC4-5D6E-409C-BE32-E72D297353CC}">
              <c16:uniqueId val="{00000000-5DCE-41CC-9697-965A24F0F683}"/>
            </c:ext>
          </c:extLst>
        </c:ser>
        <c:dLbls>
          <c:showLegendKey val="0"/>
          <c:showVal val="0"/>
          <c:showCatName val="0"/>
          <c:showSerName val="0"/>
          <c:showPercent val="0"/>
          <c:showBubbleSize val="0"/>
        </c:dLbls>
        <c:axId val="1845876959"/>
        <c:axId val="1845874879"/>
      </c:scatterChart>
      <c:valAx>
        <c:axId val="184587695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Size.living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5874879"/>
        <c:crosses val="autoZero"/>
        <c:crossBetween val="midCat"/>
      </c:valAx>
      <c:valAx>
        <c:axId val="18458748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5876959"/>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PRICE('000) AND BDRMS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data!$E$1</c:f>
              <c:strCache>
                <c:ptCount val="1"/>
                <c:pt idx="0">
                  <c:v>PRICE('000)</c:v>
                </c:pt>
              </c:strCache>
            </c:strRef>
          </c:tx>
          <c:spPr>
            <a:ln w="19050" cap="rnd">
              <a:noFill/>
              <a:round/>
            </a:ln>
            <a:effectLst/>
          </c:spPr>
          <c:marker>
            <c:symbol val="circle"/>
            <c:size val="5"/>
            <c:spPr>
              <a:solidFill>
                <a:schemeClr val="accent1"/>
              </a:solidFill>
              <a:ln w="9525">
                <a:solidFill>
                  <a:schemeClr val="accent1"/>
                </a:solidFill>
              </a:ln>
              <a:effectLst/>
            </c:spPr>
          </c:marker>
          <c:xVal>
            <c:numRef>
              <c:f>data!$C$2:$C$89</c:f>
              <c:numCache>
                <c:formatCode>General</c:formatCode>
                <c:ptCount val="88"/>
                <c:pt idx="0">
                  <c:v>4</c:v>
                </c:pt>
                <c:pt idx="1">
                  <c:v>3</c:v>
                </c:pt>
                <c:pt idx="2">
                  <c:v>3</c:v>
                </c:pt>
                <c:pt idx="3">
                  <c:v>3</c:v>
                </c:pt>
                <c:pt idx="4">
                  <c:v>4</c:v>
                </c:pt>
                <c:pt idx="5">
                  <c:v>5</c:v>
                </c:pt>
                <c:pt idx="6">
                  <c:v>3</c:v>
                </c:pt>
                <c:pt idx="7">
                  <c:v>3</c:v>
                </c:pt>
                <c:pt idx="8">
                  <c:v>3</c:v>
                </c:pt>
                <c:pt idx="9">
                  <c:v>3</c:v>
                </c:pt>
                <c:pt idx="10">
                  <c:v>4</c:v>
                </c:pt>
                <c:pt idx="11">
                  <c:v>5</c:v>
                </c:pt>
                <c:pt idx="12">
                  <c:v>3</c:v>
                </c:pt>
                <c:pt idx="13">
                  <c:v>3</c:v>
                </c:pt>
                <c:pt idx="14">
                  <c:v>3</c:v>
                </c:pt>
                <c:pt idx="15">
                  <c:v>4</c:v>
                </c:pt>
                <c:pt idx="16">
                  <c:v>4</c:v>
                </c:pt>
                <c:pt idx="17">
                  <c:v>3</c:v>
                </c:pt>
                <c:pt idx="18">
                  <c:v>3</c:v>
                </c:pt>
                <c:pt idx="19">
                  <c:v>4</c:v>
                </c:pt>
                <c:pt idx="20">
                  <c:v>3</c:v>
                </c:pt>
                <c:pt idx="21">
                  <c:v>3</c:v>
                </c:pt>
                <c:pt idx="22">
                  <c:v>3</c:v>
                </c:pt>
                <c:pt idx="23">
                  <c:v>4</c:v>
                </c:pt>
                <c:pt idx="24">
                  <c:v>3</c:v>
                </c:pt>
                <c:pt idx="25">
                  <c:v>3</c:v>
                </c:pt>
                <c:pt idx="26">
                  <c:v>3</c:v>
                </c:pt>
                <c:pt idx="27">
                  <c:v>3</c:v>
                </c:pt>
                <c:pt idx="28">
                  <c:v>7</c:v>
                </c:pt>
                <c:pt idx="29">
                  <c:v>4</c:v>
                </c:pt>
                <c:pt idx="30">
                  <c:v>4</c:v>
                </c:pt>
                <c:pt idx="31">
                  <c:v>4</c:v>
                </c:pt>
                <c:pt idx="32">
                  <c:v>3</c:v>
                </c:pt>
                <c:pt idx="33">
                  <c:v>4</c:v>
                </c:pt>
                <c:pt idx="34">
                  <c:v>4</c:v>
                </c:pt>
                <c:pt idx="35">
                  <c:v>4</c:v>
                </c:pt>
                <c:pt idx="36">
                  <c:v>4</c:v>
                </c:pt>
                <c:pt idx="37">
                  <c:v>5</c:v>
                </c:pt>
                <c:pt idx="38">
                  <c:v>4</c:v>
                </c:pt>
                <c:pt idx="39">
                  <c:v>2</c:v>
                </c:pt>
                <c:pt idx="40">
                  <c:v>3</c:v>
                </c:pt>
                <c:pt idx="41">
                  <c:v>5</c:v>
                </c:pt>
                <c:pt idx="42">
                  <c:v>4</c:v>
                </c:pt>
                <c:pt idx="43">
                  <c:v>3</c:v>
                </c:pt>
                <c:pt idx="44">
                  <c:v>5</c:v>
                </c:pt>
                <c:pt idx="45">
                  <c:v>3</c:v>
                </c:pt>
                <c:pt idx="46">
                  <c:v>3</c:v>
                </c:pt>
                <c:pt idx="47">
                  <c:v>4</c:v>
                </c:pt>
                <c:pt idx="48">
                  <c:v>3</c:v>
                </c:pt>
                <c:pt idx="49">
                  <c:v>4</c:v>
                </c:pt>
                <c:pt idx="50">
                  <c:v>3</c:v>
                </c:pt>
                <c:pt idx="51">
                  <c:v>2</c:v>
                </c:pt>
                <c:pt idx="52">
                  <c:v>3</c:v>
                </c:pt>
                <c:pt idx="53">
                  <c:v>3</c:v>
                </c:pt>
                <c:pt idx="54">
                  <c:v>3</c:v>
                </c:pt>
                <c:pt idx="55">
                  <c:v>4</c:v>
                </c:pt>
                <c:pt idx="56">
                  <c:v>4</c:v>
                </c:pt>
                <c:pt idx="57">
                  <c:v>4</c:v>
                </c:pt>
                <c:pt idx="58">
                  <c:v>3</c:v>
                </c:pt>
                <c:pt idx="59">
                  <c:v>4</c:v>
                </c:pt>
                <c:pt idx="60">
                  <c:v>3</c:v>
                </c:pt>
                <c:pt idx="61">
                  <c:v>4</c:v>
                </c:pt>
                <c:pt idx="62">
                  <c:v>6</c:v>
                </c:pt>
                <c:pt idx="63">
                  <c:v>5</c:v>
                </c:pt>
                <c:pt idx="64">
                  <c:v>4</c:v>
                </c:pt>
                <c:pt idx="65">
                  <c:v>4</c:v>
                </c:pt>
                <c:pt idx="66">
                  <c:v>4</c:v>
                </c:pt>
                <c:pt idx="67">
                  <c:v>4</c:v>
                </c:pt>
                <c:pt idx="68">
                  <c:v>4</c:v>
                </c:pt>
                <c:pt idx="69">
                  <c:v>3</c:v>
                </c:pt>
                <c:pt idx="70">
                  <c:v>3</c:v>
                </c:pt>
                <c:pt idx="71">
                  <c:v>3</c:v>
                </c:pt>
                <c:pt idx="72">
                  <c:v>5</c:v>
                </c:pt>
                <c:pt idx="73">
                  <c:v>3</c:v>
                </c:pt>
                <c:pt idx="74">
                  <c:v>2</c:v>
                </c:pt>
                <c:pt idx="75">
                  <c:v>3</c:v>
                </c:pt>
                <c:pt idx="76">
                  <c:v>4</c:v>
                </c:pt>
                <c:pt idx="77">
                  <c:v>3</c:v>
                </c:pt>
                <c:pt idx="78">
                  <c:v>4</c:v>
                </c:pt>
                <c:pt idx="79">
                  <c:v>3</c:v>
                </c:pt>
                <c:pt idx="80">
                  <c:v>4</c:v>
                </c:pt>
                <c:pt idx="81">
                  <c:v>3</c:v>
                </c:pt>
                <c:pt idx="82">
                  <c:v>4</c:v>
                </c:pt>
                <c:pt idx="83">
                  <c:v>3</c:v>
                </c:pt>
                <c:pt idx="84">
                  <c:v>3</c:v>
                </c:pt>
                <c:pt idx="85">
                  <c:v>3</c:v>
                </c:pt>
                <c:pt idx="86">
                  <c:v>2</c:v>
                </c:pt>
                <c:pt idx="87">
                  <c:v>4</c:v>
                </c:pt>
              </c:numCache>
            </c:numRef>
          </c:xVal>
          <c:yVal>
            <c:numRef>
              <c:f>data!$E$2:$E$89</c:f>
              <c:numCache>
                <c:formatCode>General</c:formatCode>
                <c:ptCount val="88"/>
                <c:pt idx="0">
                  <c:v>300</c:v>
                </c:pt>
                <c:pt idx="1">
                  <c:v>370</c:v>
                </c:pt>
                <c:pt idx="2">
                  <c:v>191</c:v>
                </c:pt>
                <c:pt idx="3">
                  <c:v>195</c:v>
                </c:pt>
                <c:pt idx="4">
                  <c:v>373</c:v>
                </c:pt>
                <c:pt idx="5">
                  <c:v>466</c:v>
                </c:pt>
                <c:pt idx="6">
                  <c:v>332</c:v>
                </c:pt>
                <c:pt idx="7">
                  <c:v>315</c:v>
                </c:pt>
                <c:pt idx="8">
                  <c:v>206</c:v>
                </c:pt>
                <c:pt idx="9">
                  <c:v>240</c:v>
                </c:pt>
                <c:pt idx="10">
                  <c:v>285</c:v>
                </c:pt>
                <c:pt idx="11">
                  <c:v>300</c:v>
                </c:pt>
                <c:pt idx="12">
                  <c:v>405</c:v>
                </c:pt>
                <c:pt idx="13">
                  <c:v>212</c:v>
                </c:pt>
                <c:pt idx="14">
                  <c:v>265</c:v>
                </c:pt>
                <c:pt idx="15">
                  <c:v>227</c:v>
                </c:pt>
                <c:pt idx="16">
                  <c:v>240</c:v>
                </c:pt>
                <c:pt idx="17">
                  <c:v>285</c:v>
                </c:pt>
                <c:pt idx="18">
                  <c:v>268</c:v>
                </c:pt>
                <c:pt idx="19">
                  <c:v>310</c:v>
                </c:pt>
                <c:pt idx="20">
                  <c:v>266</c:v>
                </c:pt>
                <c:pt idx="21">
                  <c:v>270</c:v>
                </c:pt>
                <c:pt idx="22">
                  <c:v>225</c:v>
                </c:pt>
                <c:pt idx="23">
                  <c:v>150</c:v>
                </c:pt>
                <c:pt idx="24">
                  <c:v>247</c:v>
                </c:pt>
                <c:pt idx="25">
                  <c:v>275</c:v>
                </c:pt>
                <c:pt idx="26">
                  <c:v>230</c:v>
                </c:pt>
                <c:pt idx="27">
                  <c:v>343</c:v>
                </c:pt>
                <c:pt idx="28">
                  <c:v>477</c:v>
                </c:pt>
                <c:pt idx="29">
                  <c:v>350</c:v>
                </c:pt>
                <c:pt idx="30">
                  <c:v>230</c:v>
                </c:pt>
                <c:pt idx="31">
                  <c:v>335</c:v>
                </c:pt>
                <c:pt idx="32">
                  <c:v>251</c:v>
                </c:pt>
                <c:pt idx="33">
                  <c:v>235</c:v>
                </c:pt>
                <c:pt idx="34">
                  <c:v>361</c:v>
                </c:pt>
                <c:pt idx="35">
                  <c:v>190</c:v>
                </c:pt>
                <c:pt idx="36">
                  <c:v>360</c:v>
                </c:pt>
                <c:pt idx="37">
                  <c:v>575</c:v>
                </c:pt>
                <c:pt idx="38">
                  <c:v>209</c:v>
                </c:pt>
                <c:pt idx="39">
                  <c:v>225</c:v>
                </c:pt>
                <c:pt idx="40">
                  <c:v>246</c:v>
                </c:pt>
                <c:pt idx="41">
                  <c:v>713</c:v>
                </c:pt>
                <c:pt idx="42">
                  <c:v>248</c:v>
                </c:pt>
                <c:pt idx="43">
                  <c:v>230</c:v>
                </c:pt>
                <c:pt idx="44">
                  <c:v>375</c:v>
                </c:pt>
                <c:pt idx="45">
                  <c:v>265</c:v>
                </c:pt>
                <c:pt idx="46">
                  <c:v>313</c:v>
                </c:pt>
                <c:pt idx="47">
                  <c:v>417</c:v>
                </c:pt>
                <c:pt idx="48">
                  <c:v>253</c:v>
                </c:pt>
                <c:pt idx="49">
                  <c:v>315</c:v>
                </c:pt>
                <c:pt idx="50">
                  <c:v>264</c:v>
                </c:pt>
                <c:pt idx="51">
                  <c:v>255</c:v>
                </c:pt>
                <c:pt idx="52">
                  <c:v>210</c:v>
                </c:pt>
                <c:pt idx="53">
                  <c:v>180</c:v>
                </c:pt>
                <c:pt idx="54">
                  <c:v>250</c:v>
                </c:pt>
                <c:pt idx="55">
                  <c:v>250</c:v>
                </c:pt>
                <c:pt idx="56">
                  <c:v>209</c:v>
                </c:pt>
                <c:pt idx="57">
                  <c:v>258</c:v>
                </c:pt>
                <c:pt idx="58">
                  <c:v>289</c:v>
                </c:pt>
                <c:pt idx="59">
                  <c:v>316</c:v>
                </c:pt>
                <c:pt idx="60">
                  <c:v>225</c:v>
                </c:pt>
                <c:pt idx="61">
                  <c:v>266</c:v>
                </c:pt>
                <c:pt idx="62">
                  <c:v>310</c:v>
                </c:pt>
                <c:pt idx="63">
                  <c:v>471</c:v>
                </c:pt>
                <c:pt idx="64">
                  <c:v>335</c:v>
                </c:pt>
                <c:pt idx="65">
                  <c:v>495</c:v>
                </c:pt>
                <c:pt idx="66">
                  <c:v>279</c:v>
                </c:pt>
                <c:pt idx="67">
                  <c:v>380</c:v>
                </c:pt>
                <c:pt idx="68">
                  <c:v>325</c:v>
                </c:pt>
                <c:pt idx="69">
                  <c:v>220</c:v>
                </c:pt>
                <c:pt idx="70">
                  <c:v>215</c:v>
                </c:pt>
                <c:pt idx="71">
                  <c:v>240</c:v>
                </c:pt>
                <c:pt idx="72">
                  <c:v>725</c:v>
                </c:pt>
                <c:pt idx="73">
                  <c:v>230</c:v>
                </c:pt>
                <c:pt idx="74">
                  <c:v>306</c:v>
                </c:pt>
                <c:pt idx="75">
                  <c:v>425</c:v>
                </c:pt>
                <c:pt idx="76">
                  <c:v>318</c:v>
                </c:pt>
                <c:pt idx="77">
                  <c:v>330</c:v>
                </c:pt>
                <c:pt idx="78">
                  <c:v>246</c:v>
                </c:pt>
                <c:pt idx="79">
                  <c:v>225</c:v>
                </c:pt>
                <c:pt idx="80">
                  <c:v>111</c:v>
                </c:pt>
                <c:pt idx="81">
                  <c:v>268</c:v>
                </c:pt>
                <c:pt idx="82">
                  <c:v>244</c:v>
                </c:pt>
                <c:pt idx="83">
                  <c:v>295</c:v>
                </c:pt>
                <c:pt idx="84">
                  <c:v>236</c:v>
                </c:pt>
                <c:pt idx="85">
                  <c:v>202</c:v>
                </c:pt>
                <c:pt idx="86">
                  <c:v>219</c:v>
                </c:pt>
                <c:pt idx="87">
                  <c:v>242</c:v>
                </c:pt>
              </c:numCache>
            </c:numRef>
          </c:yVal>
          <c:smooth val="0"/>
          <c:extLst>
            <c:ext xmlns:c16="http://schemas.microsoft.com/office/drawing/2014/chart" uri="{C3380CC4-5D6E-409C-BE32-E72D297353CC}">
              <c16:uniqueId val="{00000000-9659-4586-9836-15420AE08057}"/>
            </c:ext>
          </c:extLst>
        </c:ser>
        <c:dLbls>
          <c:showLegendKey val="0"/>
          <c:showVal val="0"/>
          <c:showCatName val="0"/>
          <c:showSerName val="0"/>
          <c:showPercent val="0"/>
          <c:showBubbleSize val="0"/>
        </c:dLbls>
        <c:axId val="1968766383"/>
        <c:axId val="1968763471"/>
      </c:scatterChart>
      <c:valAx>
        <c:axId val="196876638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BDRMS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763471"/>
        <c:crosses val="autoZero"/>
        <c:crossBetween val="midCat"/>
      </c:valAx>
      <c:valAx>
        <c:axId val="19687634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766383"/>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PRICE('000) AND LOTSIZE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data!$E$1</c:f>
              <c:strCache>
                <c:ptCount val="1"/>
                <c:pt idx="0">
                  <c:v>PRICE('000)</c:v>
                </c:pt>
              </c:strCache>
            </c:strRef>
          </c:tx>
          <c:spPr>
            <a:ln w="19050" cap="rnd">
              <a:noFill/>
              <a:round/>
            </a:ln>
            <a:effectLst/>
          </c:spPr>
          <c:marker>
            <c:symbol val="circle"/>
            <c:size val="5"/>
            <c:spPr>
              <a:solidFill>
                <a:schemeClr val="accent1"/>
              </a:solidFill>
              <a:ln w="9525">
                <a:solidFill>
                  <a:schemeClr val="accent1"/>
                </a:solidFill>
              </a:ln>
              <a:effectLst/>
            </c:spPr>
          </c:marker>
          <c:xVal>
            <c:numRef>
              <c:f>data!$D$2:$D$89</c:f>
              <c:numCache>
                <c:formatCode>General</c:formatCode>
                <c:ptCount val="88"/>
                <c:pt idx="0">
                  <c:v>6126</c:v>
                </c:pt>
                <c:pt idx="1">
                  <c:v>9903</c:v>
                </c:pt>
                <c:pt idx="2">
                  <c:v>5200</c:v>
                </c:pt>
                <c:pt idx="3">
                  <c:v>4600</c:v>
                </c:pt>
                <c:pt idx="4">
                  <c:v>6095</c:v>
                </c:pt>
                <c:pt idx="5">
                  <c:v>8566</c:v>
                </c:pt>
                <c:pt idx="6">
                  <c:v>9000</c:v>
                </c:pt>
                <c:pt idx="7">
                  <c:v>6210</c:v>
                </c:pt>
                <c:pt idx="8">
                  <c:v>6000</c:v>
                </c:pt>
                <c:pt idx="9">
                  <c:v>2892</c:v>
                </c:pt>
                <c:pt idx="10">
                  <c:v>6000</c:v>
                </c:pt>
                <c:pt idx="11">
                  <c:v>7047</c:v>
                </c:pt>
                <c:pt idx="12">
                  <c:v>12237</c:v>
                </c:pt>
                <c:pt idx="13">
                  <c:v>6460</c:v>
                </c:pt>
                <c:pt idx="14">
                  <c:v>6519</c:v>
                </c:pt>
                <c:pt idx="15">
                  <c:v>3597</c:v>
                </c:pt>
                <c:pt idx="16">
                  <c:v>5922</c:v>
                </c:pt>
                <c:pt idx="17">
                  <c:v>7123</c:v>
                </c:pt>
                <c:pt idx="18">
                  <c:v>5642</c:v>
                </c:pt>
                <c:pt idx="19">
                  <c:v>8602</c:v>
                </c:pt>
                <c:pt idx="20">
                  <c:v>5494</c:v>
                </c:pt>
                <c:pt idx="21">
                  <c:v>7800</c:v>
                </c:pt>
                <c:pt idx="22">
                  <c:v>6003</c:v>
                </c:pt>
                <c:pt idx="23">
                  <c:v>5218</c:v>
                </c:pt>
                <c:pt idx="24">
                  <c:v>9425</c:v>
                </c:pt>
                <c:pt idx="25">
                  <c:v>6114</c:v>
                </c:pt>
                <c:pt idx="26">
                  <c:v>6710</c:v>
                </c:pt>
                <c:pt idx="27">
                  <c:v>8577</c:v>
                </c:pt>
                <c:pt idx="28">
                  <c:v>8400</c:v>
                </c:pt>
                <c:pt idx="29">
                  <c:v>9773</c:v>
                </c:pt>
                <c:pt idx="30">
                  <c:v>4806</c:v>
                </c:pt>
                <c:pt idx="31">
                  <c:v>15086</c:v>
                </c:pt>
                <c:pt idx="32">
                  <c:v>5763</c:v>
                </c:pt>
                <c:pt idx="33">
                  <c:v>6383</c:v>
                </c:pt>
                <c:pt idx="34">
                  <c:v>9000</c:v>
                </c:pt>
                <c:pt idx="35">
                  <c:v>3500</c:v>
                </c:pt>
                <c:pt idx="36">
                  <c:v>10892</c:v>
                </c:pt>
                <c:pt idx="37">
                  <c:v>15634</c:v>
                </c:pt>
                <c:pt idx="38">
                  <c:v>6400</c:v>
                </c:pt>
                <c:pt idx="39">
                  <c:v>8880</c:v>
                </c:pt>
                <c:pt idx="40">
                  <c:v>6314</c:v>
                </c:pt>
                <c:pt idx="41">
                  <c:v>28231</c:v>
                </c:pt>
                <c:pt idx="42">
                  <c:v>7050</c:v>
                </c:pt>
                <c:pt idx="43">
                  <c:v>5305</c:v>
                </c:pt>
                <c:pt idx="44">
                  <c:v>6637</c:v>
                </c:pt>
                <c:pt idx="45">
                  <c:v>7834</c:v>
                </c:pt>
                <c:pt idx="46">
                  <c:v>1000</c:v>
                </c:pt>
                <c:pt idx="47">
                  <c:v>8112</c:v>
                </c:pt>
                <c:pt idx="48">
                  <c:v>5850</c:v>
                </c:pt>
                <c:pt idx="49">
                  <c:v>6660</c:v>
                </c:pt>
                <c:pt idx="50">
                  <c:v>6637</c:v>
                </c:pt>
                <c:pt idx="51">
                  <c:v>15267</c:v>
                </c:pt>
                <c:pt idx="52">
                  <c:v>5146</c:v>
                </c:pt>
                <c:pt idx="53">
                  <c:v>6017</c:v>
                </c:pt>
                <c:pt idx="54">
                  <c:v>8410</c:v>
                </c:pt>
                <c:pt idx="55">
                  <c:v>5625</c:v>
                </c:pt>
                <c:pt idx="56">
                  <c:v>5600</c:v>
                </c:pt>
                <c:pt idx="57">
                  <c:v>6525</c:v>
                </c:pt>
                <c:pt idx="58">
                  <c:v>6060</c:v>
                </c:pt>
                <c:pt idx="59">
                  <c:v>5539</c:v>
                </c:pt>
                <c:pt idx="60">
                  <c:v>7566</c:v>
                </c:pt>
                <c:pt idx="61">
                  <c:v>5484</c:v>
                </c:pt>
                <c:pt idx="62">
                  <c:v>5348</c:v>
                </c:pt>
                <c:pt idx="63">
                  <c:v>15834</c:v>
                </c:pt>
                <c:pt idx="64">
                  <c:v>8022</c:v>
                </c:pt>
                <c:pt idx="65">
                  <c:v>11966</c:v>
                </c:pt>
                <c:pt idx="66">
                  <c:v>8460</c:v>
                </c:pt>
                <c:pt idx="67">
                  <c:v>15105</c:v>
                </c:pt>
                <c:pt idx="68">
                  <c:v>10859</c:v>
                </c:pt>
                <c:pt idx="69">
                  <c:v>6300</c:v>
                </c:pt>
                <c:pt idx="70">
                  <c:v>11554</c:v>
                </c:pt>
                <c:pt idx="71">
                  <c:v>6000</c:v>
                </c:pt>
                <c:pt idx="72">
                  <c:v>31000</c:v>
                </c:pt>
                <c:pt idx="73">
                  <c:v>4054</c:v>
                </c:pt>
                <c:pt idx="74">
                  <c:v>20700</c:v>
                </c:pt>
                <c:pt idx="75">
                  <c:v>5525</c:v>
                </c:pt>
                <c:pt idx="76">
                  <c:v>92681</c:v>
                </c:pt>
                <c:pt idx="77">
                  <c:v>8178</c:v>
                </c:pt>
                <c:pt idx="78">
                  <c:v>5944</c:v>
                </c:pt>
                <c:pt idx="79">
                  <c:v>18838</c:v>
                </c:pt>
                <c:pt idx="80">
                  <c:v>4315</c:v>
                </c:pt>
                <c:pt idx="81">
                  <c:v>5167</c:v>
                </c:pt>
                <c:pt idx="82">
                  <c:v>7893</c:v>
                </c:pt>
                <c:pt idx="83">
                  <c:v>6056</c:v>
                </c:pt>
                <c:pt idx="84">
                  <c:v>5828</c:v>
                </c:pt>
                <c:pt idx="85">
                  <c:v>6341</c:v>
                </c:pt>
                <c:pt idx="86">
                  <c:v>6362</c:v>
                </c:pt>
                <c:pt idx="87">
                  <c:v>4950</c:v>
                </c:pt>
              </c:numCache>
            </c:numRef>
          </c:xVal>
          <c:yVal>
            <c:numRef>
              <c:f>data!$E$2:$E$89</c:f>
              <c:numCache>
                <c:formatCode>General</c:formatCode>
                <c:ptCount val="88"/>
                <c:pt idx="0">
                  <c:v>300</c:v>
                </c:pt>
                <c:pt idx="1">
                  <c:v>370</c:v>
                </c:pt>
                <c:pt idx="2">
                  <c:v>191</c:v>
                </c:pt>
                <c:pt idx="3">
                  <c:v>195</c:v>
                </c:pt>
                <c:pt idx="4">
                  <c:v>373</c:v>
                </c:pt>
                <c:pt idx="5">
                  <c:v>466</c:v>
                </c:pt>
                <c:pt idx="6">
                  <c:v>332</c:v>
                </c:pt>
                <c:pt idx="7">
                  <c:v>315</c:v>
                </c:pt>
                <c:pt idx="8">
                  <c:v>206</c:v>
                </c:pt>
                <c:pt idx="9">
                  <c:v>240</c:v>
                </c:pt>
                <c:pt idx="10">
                  <c:v>285</c:v>
                </c:pt>
                <c:pt idx="11">
                  <c:v>300</c:v>
                </c:pt>
                <c:pt idx="12">
                  <c:v>405</c:v>
                </c:pt>
                <c:pt idx="13">
                  <c:v>212</c:v>
                </c:pt>
                <c:pt idx="14">
                  <c:v>265</c:v>
                </c:pt>
                <c:pt idx="15">
                  <c:v>227</c:v>
                </c:pt>
                <c:pt idx="16">
                  <c:v>240</c:v>
                </c:pt>
                <c:pt idx="17">
                  <c:v>285</c:v>
                </c:pt>
                <c:pt idx="18">
                  <c:v>268</c:v>
                </c:pt>
                <c:pt idx="19">
                  <c:v>310</c:v>
                </c:pt>
                <c:pt idx="20">
                  <c:v>266</c:v>
                </c:pt>
                <c:pt idx="21">
                  <c:v>270</c:v>
                </c:pt>
                <c:pt idx="22">
                  <c:v>225</c:v>
                </c:pt>
                <c:pt idx="23">
                  <c:v>150</c:v>
                </c:pt>
                <c:pt idx="24">
                  <c:v>247</c:v>
                </c:pt>
                <c:pt idx="25">
                  <c:v>275</c:v>
                </c:pt>
                <c:pt idx="26">
                  <c:v>230</c:v>
                </c:pt>
                <c:pt idx="27">
                  <c:v>343</c:v>
                </c:pt>
                <c:pt idx="28">
                  <c:v>477</c:v>
                </c:pt>
                <c:pt idx="29">
                  <c:v>350</c:v>
                </c:pt>
                <c:pt idx="30">
                  <c:v>230</c:v>
                </c:pt>
                <c:pt idx="31">
                  <c:v>335</c:v>
                </c:pt>
                <c:pt idx="32">
                  <c:v>251</c:v>
                </c:pt>
                <c:pt idx="33">
                  <c:v>235</c:v>
                </c:pt>
                <c:pt idx="34">
                  <c:v>361</c:v>
                </c:pt>
                <c:pt idx="35">
                  <c:v>190</c:v>
                </c:pt>
                <c:pt idx="36">
                  <c:v>360</c:v>
                </c:pt>
                <c:pt idx="37">
                  <c:v>575</c:v>
                </c:pt>
                <c:pt idx="38">
                  <c:v>209</c:v>
                </c:pt>
                <c:pt idx="39">
                  <c:v>225</c:v>
                </c:pt>
                <c:pt idx="40">
                  <c:v>246</c:v>
                </c:pt>
                <c:pt idx="41">
                  <c:v>713</c:v>
                </c:pt>
                <c:pt idx="42">
                  <c:v>248</c:v>
                </c:pt>
                <c:pt idx="43">
                  <c:v>230</c:v>
                </c:pt>
                <c:pt idx="44">
                  <c:v>375</c:v>
                </c:pt>
                <c:pt idx="45">
                  <c:v>265</c:v>
                </c:pt>
                <c:pt idx="46">
                  <c:v>313</c:v>
                </c:pt>
                <c:pt idx="47">
                  <c:v>417</c:v>
                </c:pt>
                <c:pt idx="48">
                  <c:v>253</c:v>
                </c:pt>
                <c:pt idx="49">
                  <c:v>315</c:v>
                </c:pt>
                <c:pt idx="50">
                  <c:v>264</c:v>
                </c:pt>
                <c:pt idx="51">
                  <c:v>255</c:v>
                </c:pt>
                <c:pt idx="52">
                  <c:v>210</c:v>
                </c:pt>
                <c:pt idx="53">
                  <c:v>180</c:v>
                </c:pt>
                <c:pt idx="54">
                  <c:v>250</c:v>
                </c:pt>
                <c:pt idx="55">
                  <c:v>250</c:v>
                </c:pt>
                <c:pt idx="56">
                  <c:v>209</c:v>
                </c:pt>
                <c:pt idx="57">
                  <c:v>258</c:v>
                </c:pt>
                <c:pt idx="58">
                  <c:v>289</c:v>
                </c:pt>
                <c:pt idx="59">
                  <c:v>316</c:v>
                </c:pt>
                <c:pt idx="60">
                  <c:v>225</c:v>
                </c:pt>
                <c:pt idx="61">
                  <c:v>266</c:v>
                </c:pt>
                <c:pt idx="62">
                  <c:v>310</c:v>
                </c:pt>
                <c:pt idx="63">
                  <c:v>471</c:v>
                </c:pt>
                <c:pt idx="64">
                  <c:v>335</c:v>
                </c:pt>
                <c:pt idx="65">
                  <c:v>495</c:v>
                </c:pt>
                <c:pt idx="66">
                  <c:v>279</c:v>
                </c:pt>
                <c:pt idx="67">
                  <c:v>380</c:v>
                </c:pt>
                <c:pt idx="68">
                  <c:v>325</c:v>
                </c:pt>
                <c:pt idx="69">
                  <c:v>220</c:v>
                </c:pt>
                <c:pt idx="70">
                  <c:v>215</c:v>
                </c:pt>
                <c:pt idx="71">
                  <c:v>240</c:v>
                </c:pt>
                <c:pt idx="72">
                  <c:v>725</c:v>
                </c:pt>
                <c:pt idx="73">
                  <c:v>230</c:v>
                </c:pt>
                <c:pt idx="74">
                  <c:v>306</c:v>
                </c:pt>
                <c:pt idx="75">
                  <c:v>425</c:v>
                </c:pt>
                <c:pt idx="76">
                  <c:v>318</c:v>
                </c:pt>
                <c:pt idx="77">
                  <c:v>330</c:v>
                </c:pt>
                <c:pt idx="78">
                  <c:v>246</c:v>
                </c:pt>
                <c:pt idx="79">
                  <c:v>225</c:v>
                </c:pt>
                <c:pt idx="80">
                  <c:v>111</c:v>
                </c:pt>
                <c:pt idx="81">
                  <c:v>268</c:v>
                </c:pt>
                <c:pt idx="82">
                  <c:v>244</c:v>
                </c:pt>
                <c:pt idx="83">
                  <c:v>295</c:v>
                </c:pt>
                <c:pt idx="84">
                  <c:v>236</c:v>
                </c:pt>
                <c:pt idx="85">
                  <c:v>202</c:v>
                </c:pt>
                <c:pt idx="86">
                  <c:v>219</c:v>
                </c:pt>
                <c:pt idx="87">
                  <c:v>242</c:v>
                </c:pt>
              </c:numCache>
            </c:numRef>
          </c:yVal>
          <c:smooth val="0"/>
          <c:extLst>
            <c:ext xmlns:c16="http://schemas.microsoft.com/office/drawing/2014/chart" uri="{C3380CC4-5D6E-409C-BE32-E72D297353CC}">
              <c16:uniqueId val="{00000000-17B4-4C1A-B539-56FDFDE01173}"/>
            </c:ext>
          </c:extLst>
        </c:ser>
        <c:dLbls>
          <c:showLegendKey val="0"/>
          <c:showVal val="0"/>
          <c:showCatName val="0"/>
          <c:showSerName val="0"/>
          <c:showPercent val="0"/>
          <c:showBubbleSize val="0"/>
        </c:dLbls>
        <c:axId val="1970631375"/>
        <c:axId val="1964063727"/>
      </c:scatterChart>
      <c:valAx>
        <c:axId val="197063137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Lotsize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4063727"/>
        <c:crosses val="autoZero"/>
        <c:crossBetween val="midCat"/>
      </c:valAx>
      <c:valAx>
        <c:axId val="19640637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631375"/>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SIZE.LIVING Standard Residual Plot</a:t>
            </a:r>
          </a:p>
        </c:rich>
      </c:tx>
      <c:overlay val="0"/>
    </c:title>
    <c:autoTitleDeleted val="0"/>
    <c:plotArea>
      <c:layout/>
      <c:scatterChart>
        <c:scatterStyle val="lineMarker"/>
        <c:varyColors val="0"/>
        <c:ser>
          <c:idx val="0"/>
          <c:order val="0"/>
          <c:spPr>
            <a:ln w="19050">
              <a:noFill/>
            </a:ln>
          </c:spPr>
          <c:xVal>
            <c:numRef>
              <c:f>data!$B$2:$B$89</c:f>
              <c:numCache>
                <c:formatCode>General</c:formatCode>
                <c:ptCount val="88"/>
                <c:pt idx="0">
                  <c:v>349.1</c:v>
                </c:pt>
                <c:pt idx="1">
                  <c:v>351.5</c:v>
                </c:pt>
                <c:pt idx="2">
                  <c:v>217.7</c:v>
                </c:pt>
                <c:pt idx="3">
                  <c:v>231.8</c:v>
                </c:pt>
                <c:pt idx="4">
                  <c:v>319.10000000000002</c:v>
                </c:pt>
                <c:pt idx="5">
                  <c:v>414.5</c:v>
                </c:pt>
                <c:pt idx="6">
                  <c:v>367.8</c:v>
                </c:pt>
                <c:pt idx="7">
                  <c:v>300.2</c:v>
                </c:pt>
                <c:pt idx="8">
                  <c:v>236.1</c:v>
                </c:pt>
                <c:pt idx="9">
                  <c:v>256.3</c:v>
                </c:pt>
                <c:pt idx="10">
                  <c:v>314</c:v>
                </c:pt>
                <c:pt idx="11">
                  <c:v>416.5</c:v>
                </c:pt>
                <c:pt idx="12">
                  <c:v>434</c:v>
                </c:pt>
                <c:pt idx="13">
                  <c:v>279.3</c:v>
                </c:pt>
                <c:pt idx="14">
                  <c:v>287.5</c:v>
                </c:pt>
                <c:pt idx="15">
                  <c:v>232.9</c:v>
                </c:pt>
                <c:pt idx="16">
                  <c:v>303.8</c:v>
                </c:pt>
                <c:pt idx="17">
                  <c:v>305.60000000000002</c:v>
                </c:pt>
                <c:pt idx="18">
                  <c:v>266.7</c:v>
                </c:pt>
                <c:pt idx="19">
                  <c:v>326</c:v>
                </c:pt>
                <c:pt idx="20">
                  <c:v>294.3</c:v>
                </c:pt>
                <c:pt idx="21">
                  <c:v>318.8</c:v>
                </c:pt>
                <c:pt idx="22">
                  <c:v>294.2</c:v>
                </c:pt>
                <c:pt idx="23">
                  <c:v>208</c:v>
                </c:pt>
                <c:pt idx="24">
                  <c:v>239.7</c:v>
                </c:pt>
                <c:pt idx="25">
                  <c:v>294.10000000000002</c:v>
                </c:pt>
                <c:pt idx="26">
                  <c:v>267.39999999999998</c:v>
                </c:pt>
                <c:pt idx="27">
                  <c:v>359.9</c:v>
                </c:pt>
                <c:pt idx="28">
                  <c:v>478.1</c:v>
                </c:pt>
                <c:pt idx="29">
                  <c:v>355.3</c:v>
                </c:pt>
                <c:pt idx="30">
                  <c:v>217.8</c:v>
                </c:pt>
                <c:pt idx="31">
                  <c:v>385</c:v>
                </c:pt>
                <c:pt idx="32">
                  <c:v>224.3</c:v>
                </c:pt>
                <c:pt idx="33">
                  <c:v>251.9</c:v>
                </c:pt>
                <c:pt idx="34">
                  <c:v>354.9</c:v>
                </c:pt>
                <c:pt idx="35">
                  <c:v>212.5</c:v>
                </c:pt>
                <c:pt idx="36">
                  <c:v>452.4</c:v>
                </c:pt>
                <c:pt idx="37">
                  <c:v>518.1</c:v>
                </c:pt>
                <c:pt idx="38">
                  <c:v>289.39999999999998</c:v>
                </c:pt>
                <c:pt idx="39">
                  <c:v>268.10000000000002</c:v>
                </c:pt>
                <c:pt idx="40">
                  <c:v>278.5</c:v>
                </c:pt>
                <c:pt idx="41">
                  <c:v>655.4</c:v>
                </c:pt>
                <c:pt idx="42">
                  <c:v>273.3</c:v>
                </c:pt>
                <c:pt idx="43">
                  <c:v>212.1</c:v>
                </c:pt>
                <c:pt idx="44">
                  <c:v>354</c:v>
                </c:pt>
                <c:pt idx="45">
                  <c:v>252.1</c:v>
                </c:pt>
                <c:pt idx="46">
                  <c:v>324</c:v>
                </c:pt>
                <c:pt idx="47">
                  <c:v>475.5</c:v>
                </c:pt>
                <c:pt idx="48">
                  <c:v>256.8</c:v>
                </c:pt>
                <c:pt idx="49">
                  <c:v>279.2</c:v>
                </c:pt>
                <c:pt idx="50">
                  <c:v>313.89999999999998</c:v>
                </c:pt>
                <c:pt idx="51">
                  <c:v>279.8</c:v>
                </c:pt>
                <c:pt idx="52">
                  <c:v>198.7</c:v>
                </c:pt>
                <c:pt idx="53">
                  <c:v>221.5</c:v>
                </c:pt>
                <c:pt idx="54">
                  <c:v>268.39999999999998</c:v>
                </c:pt>
                <c:pt idx="55">
                  <c:v>282.3</c:v>
                </c:pt>
                <c:pt idx="56">
                  <c:v>230.7</c:v>
                </c:pt>
                <c:pt idx="57">
                  <c:v>287</c:v>
                </c:pt>
                <c:pt idx="58">
                  <c:v>298.7</c:v>
                </c:pt>
                <c:pt idx="59">
                  <c:v>314.60000000000002</c:v>
                </c:pt>
                <c:pt idx="60">
                  <c:v>291</c:v>
                </c:pt>
                <c:pt idx="61">
                  <c:v>286.39999999999998</c:v>
                </c:pt>
                <c:pt idx="62">
                  <c:v>253.6</c:v>
                </c:pt>
                <c:pt idx="63">
                  <c:v>482</c:v>
                </c:pt>
                <c:pt idx="64">
                  <c:v>384.3</c:v>
                </c:pt>
                <c:pt idx="65">
                  <c:v>543.6</c:v>
                </c:pt>
                <c:pt idx="66">
                  <c:v>336.5</c:v>
                </c:pt>
                <c:pt idx="67">
                  <c:v>515.5</c:v>
                </c:pt>
                <c:pt idx="68">
                  <c:v>437</c:v>
                </c:pt>
                <c:pt idx="69">
                  <c:v>263.39999999999998</c:v>
                </c:pt>
                <c:pt idx="70">
                  <c:v>300.39999999999998</c:v>
                </c:pt>
                <c:pt idx="71">
                  <c:v>250.7</c:v>
                </c:pt>
                <c:pt idx="72">
                  <c:v>708.6</c:v>
                </c:pt>
                <c:pt idx="73">
                  <c:v>276.3</c:v>
                </c:pt>
                <c:pt idx="74">
                  <c:v>388.6</c:v>
                </c:pt>
                <c:pt idx="75">
                  <c:v>252.5</c:v>
                </c:pt>
                <c:pt idx="76">
                  <c:v>295.2</c:v>
                </c:pt>
                <c:pt idx="77">
                  <c:v>359.5</c:v>
                </c:pt>
                <c:pt idx="78">
                  <c:v>276.2</c:v>
                </c:pt>
                <c:pt idx="79">
                  <c:v>249.8</c:v>
                </c:pt>
                <c:pt idx="80">
                  <c:v>202.4</c:v>
                </c:pt>
                <c:pt idx="81">
                  <c:v>254</c:v>
                </c:pt>
                <c:pt idx="82">
                  <c:v>306.8</c:v>
                </c:pt>
                <c:pt idx="83">
                  <c:v>318.3</c:v>
                </c:pt>
                <c:pt idx="84">
                  <c:v>259.39999999999998</c:v>
                </c:pt>
                <c:pt idx="85">
                  <c:v>258.10000000000002</c:v>
                </c:pt>
                <c:pt idx="86">
                  <c:v>232</c:v>
                </c:pt>
                <c:pt idx="87">
                  <c:v>252</c:v>
                </c:pt>
              </c:numCache>
            </c:numRef>
          </c:xVal>
          <c:yVal>
            <c:numRef>
              <c:f>data!$L$27:$L$114</c:f>
              <c:numCache>
                <c:formatCode>General</c:formatCode>
                <c:ptCount val="88"/>
                <c:pt idx="0">
                  <c:v>-26.023017654096918</c:v>
                </c:pt>
                <c:pt idx="1">
                  <c:v>41.637133140103572</c:v>
                </c:pt>
                <c:pt idx="2">
                  <c:v>-6.9162736365697981</c:v>
                </c:pt>
                <c:pt idx="3">
                  <c:v>-16.662887720642374</c:v>
                </c:pt>
                <c:pt idx="4">
                  <c:v>76.225097418397866</c:v>
                </c:pt>
                <c:pt idx="5">
                  <c:v>76.21609148786456</c:v>
                </c:pt>
                <c:pt idx="6">
                  <c:v>-12.254342715951964</c:v>
                </c:pt>
                <c:pt idx="7">
                  <c:v>36.651409914069632</c:v>
                </c:pt>
                <c:pt idx="8">
                  <c:v>-9.8551175476999333</c:v>
                </c:pt>
                <c:pt idx="9">
                  <c:v>4.4511516368202422</c:v>
                </c:pt>
                <c:pt idx="10">
                  <c:v>-6.8027230192780053</c:v>
                </c:pt>
                <c:pt idx="11">
                  <c:v>-91.733782850301793</c:v>
                </c:pt>
                <c:pt idx="12">
                  <c:v>-3.7951833092570268</c:v>
                </c:pt>
                <c:pt idx="13">
                  <c:v>-45.97240325209242</c:v>
                </c:pt>
                <c:pt idx="14">
                  <c:v>-0.96688803857426819</c:v>
                </c:pt>
                <c:pt idx="15">
                  <c:v>14.264681393366175</c:v>
                </c:pt>
                <c:pt idx="16">
                  <c:v>-41.858363894629804</c:v>
                </c:pt>
                <c:pt idx="17">
                  <c:v>1.3867492010205069</c:v>
                </c:pt>
                <c:pt idx="18">
                  <c:v>22.311805078355405</c:v>
                </c:pt>
                <c:pt idx="19">
                  <c:v>6.4980309517241039</c:v>
                </c:pt>
                <c:pt idx="20">
                  <c:v>-6.5964607883397548</c:v>
                </c:pt>
                <c:pt idx="21">
                  <c:v>-26.482421430877196</c:v>
                </c:pt>
                <c:pt idx="22">
                  <c:v>-47.498967071431423</c:v>
                </c:pt>
                <c:pt idx="23">
                  <c:v>-38.459383096463171</c:v>
                </c:pt>
                <c:pt idx="24">
                  <c:v>27.635108643600717</c:v>
                </c:pt>
                <c:pt idx="25">
                  <c:v>2.5985266454768521</c:v>
                </c:pt>
                <c:pt idx="26">
                  <c:v>-16.370650940002804</c:v>
                </c:pt>
                <c:pt idx="27">
                  <c:v>6.4476609198050596</c:v>
                </c:pt>
                <c:pt idx="28">
                  <c:v>25.210087534175614</c:v>
                </c:pt>
                <c:pt idx="29">
                  <c:v>17.932371897587529</c:v>
                </c:pt>
                <c:pt idx="30">
                  <c:v>31.98623264652187</c:v>
                </c:pt>
                <c:pt idx="31">
                  <c:v>-26.023262024182259</c:v>
                </c:pt>
                <c:pt idx="32">
                  <c:v>46.649141047481322</c:v>
                </c:pt>
                <c:pt idx="33">
                  <c:v>3.740875180786162</c:v>
                </c:pt>
                <c:pt idx="34">
                  <c:v>29.322346765220857</c:v>
                </c:pt>
                <c:pt idx="35">
                  <c:v>-2.8466003573373939</c:v>
                </c:pt>
                <c:pt idx="36">
                  <c:v>-66.734027220387134</c:v>
                </c:pt>
                <c:pt idx="37">
                  <c:v>84.212600770849292</c:v>
                </c:pt>
                <c:pt idx="38">
                  <c:v>-58.819268659832289</c:v>
                </c:pt>
                <c:pt idx="39">
                  <c:v>-22.053106958361013</c:v>
                </c:pt>
                <c:pt idx="40">
                  <c:v>-11.192453516825879</c:v>
                </c:pt>
                <c:pt idx="41">
                  <c:v>88.353727455731587</c:v>
                </c:pt>
                <c:pt idx="42">
                  <c:v>-4.1227802375934743</c:v>
                </c:pt>
                <c:pt idx="43">
                  <c:v>37.543374510295877</c:v>
                </c:pt>
                <c:pt idx="44">
                  <c:v>44.199790217395673</c:v>
                </c:pt>
                <c:pt idx="45">
                  <c:v>33.545887746969527</c:v>
                </c:pt>
                <c:pt idx="46">
                  <c:v>11.4479052898904</c:v>
                </c:pt>
                <c:pt idx="47">
                  <c:v>-32.255075826208156</c:v>
                </c:pt>
                <c:pt idx="48">
                  <c:v>16.963683052278668</c:v>
                </c:pt>
                <c:pt idx="49">
                  <c:v>57.125090464815912</c:v>
                </c:pt>
                <c:pt idx="50">
                  <c:v>-27.705229302369673</c:v>
                </c:pt>
                <c:pt idx="51">
                  <c:v>-3.4598718366339654</c:v>
                </c:pt>
                <c:pt idx="52">
                  <c:v>30.607532576010215</c:v>
                </c:pt>
                <c:pt idx="53">
                  <c:v>-21.621034879085812</c:v>
                </c:pt>
                <c:pt idx="54">
                  <c:v>2.6544118909140479</c:v>
                </c:pt>
                <c:pt idx="55">
                  <c:v>-10.897214759341864</c:v>
                </c:pt>
                <c:pt idx="56">
                  <c:v>-1.5904568346508654</c:v>
                </c:pt>
                <c:pt idx="57">
                  <c:v>-7.4794194540327226</c:v>
                </c:pt>
                <c:pt idx="58">
                  <c:v>12.113815667694325</c:v>
                </c:pt>
                <c:pt idx="59">
                  <c:v>23.61231467927206</c:v>
                </c:pt>
                <c:pt idx="60">
                  <c:v>-44.379168130365372</c:v>
                </c:pt>
                <c:pt idx="61">
                  <c:v>1.1055428474172118</c:v>
                </c:pt>
                <c:pt idx="62">
                  <c:v>77.083481993344805</c:v>
                </c:pt>
                <c:pt idx="63">
                  <c:v>15.407832574751353</c:v>
                </c:pt>
                <c:pt idx="64">
                  <c:v>-25.340806005824049</c:v>
                </c:pt>
                <c:pt idx="65">
                  <c:v>-20.64829704077124</c:v>
                </c:pt>
                <c:pt idx="66">
                  <c:v>-34.738809323649093</c:v>
                </c:pt>
                <c:pt idx="67">
                  <c:v>-108.25256258953448</c:v>
                </c:pt>
                <c:pt idx="68">
                  <c:v>-86.719994816506528</c:v>
                </c:pt>
                <c:pt idx="69">
                  <c:v>-22.470902263670155</c:v>
                </c:pt>
                <c:pt idx="70">
                  <c:v>-63.543577519747032</c:v>
                </c:pt>
                <c:pt idx="71">
                  <c:v>9.9107997836859738</c:v>
                </c:pt>
                <c:pt idx="72">
                  <c:v>48.487070060507449</c:v>
                </c:pt>
                <c:pt idx="73">
                  <c:v>-25.047591744842919</c:v>
                </c:pt>
                <c:pt idx="74">
                  <c:v>-58.533035832881637</c:v>
                </c:pt>
                <c:pt idx="75">
                  <c:v>193.15591287933626</c:v>
                </c:pt>
                <c:pt idx="76">
                  <c:v>44.526095759485372</c:v>
                </c:pt>
                <c:pt idx="77">
                  <c:v>-6.1623642125617266</c:v>
                </c:pt>
                <c:pt idx="78">
                  <c:v>-8.9500980279345868</c:v>
                </c:pt>
                <c:pt idx="79">
                  <c:v>-4.21175676413921</c:v>
                </c:pt>
                <c:pt idx="80">
                  <c:v>-71.999734949597496</c:v>
                </c:pt>
                <c:pt idx="81">
                  <c:v>34.693507125711534</c:v>
                </c:pt>
                <c:pt idx="82">
                  <c:v>-40.783175401879248</c:v>
                </c:pt>
                <c:pt idx="83">
                  <c:v>-0.99495284633559322</c:v>
                </c:pt>
                <c:pt idx="84">
                  <c:v>-2.5711535873375055</c:v>
                </c:pt>
                <c:pt idx="85">
                  <c:v>-35.303735267529447</c:v>
                </c:pt>
                <c:pt idx="86">
                  <c:v>7.1421248455410193</c:v>
                </c:pt>
                <c:pt idx="87">
                  <c:v>10.643381463877859</c:v>
                </c:pt>
              </c:numCache>
            </c:numRef>
          </c:yVal>
          <c:smooth val="0"/>
          <c:extLst>
            <c:ext xmlns:c16="http://schemas.microsoft.com/office/drawing/2014/chart" uri="{C3380CC4-5D6E-409C-BE32-E72D297353CC}">
              <c16:uniqueId val="{00000000-1DB8-4D0A-AAC7-19FF9305A3D2}"/>
            </c:ext>
          </c:extLst>
        </c:ser>
        <c:dLbls>
          <c:showLegendKey val="0"/>
          <c:showVal val="0"/>
          <c:showCatName val="0"/>
          <c:showSerName val="0"/>
          <c:showPercent val="0"/>
          <c:showBubbleSize val="0"/>
        </c:dLbls>
        <c:axId val="441202864"/>
        <c:axId val="441202208"/>
      </c:scatterChart>
      <c:valAx>
        <c:axId val="441202864"/>
        <c:scaling>
          <c:orientation val="minMax"/>
        </c:scaling>
        <c:delete val="0"/>
        <c:axPos val="b"/>
        <c:title>
          <c:tx>
            <c:rich>
              <a:bodyPr/>
              <a:lstStyle/>
              <a:p>
                <a:pPr>
                  <a:defRPr/>
                </a:pPr>
                <a:r>
                  <a:rPr lang="en-US"/>
                  <a:t>SIZE.LIVING</a:t>
                </a:r>
              </a:p>
            </c:rich>
          </c:tx>
          <c:overlay val="0"/>
        </c:title>
        <c:numFmt formatCode="General" sourceLinked="1"/>
        <c:majorTickMark val="out"/>
        <c:minorTickMark val="none"/>
        <c:tickLblPos val="nextTo"/>
        <c:crossAx val="441202208"/>
        <c:crosses val="autoZero"/>
        <c:crossBetween val="midCat"/>
      </c:valAx>
      <c:valAx>
        <c:axId val="441202208"/>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441202864"/>
        <c:crosses val="autoZero"/>
        <c:crossBetween val="midCat"/>
      </c:valAx>
    </c:plotArea>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A68DA-3073-452F-8A7D-46B6AFC2B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9</Pages>
  <Words>1339</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dc:creator>
  <cp:keywords/>
  <dc:description/>
  <cp:lastModifiedBy>Videlis</cp:lastModifiedBy>
  <cp:revision>53</cp:revision>
  <dcterms:created xsi:type="dcterms:W3CDTF">2018-11-17T19:59:00Z</dcterms:created>
  <dcterms:modified xsi:type="dcterms:W3CDTF">2018-12-01T22:42:00Z</dcterms:modified>
</cp:coreProperties>
</file>