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Pr="008958BF" w:rsidRDefault="00B71060" w:rsidP="001D149A">
      <w:pPr>
        <w:spacing w:after="0" w:line="480" w:lineRule="auto"/>
        <w:contextualSpacing/>
        <w:jc w:val="center"/>
        <w:rPr>
          <w:rFonts w:ascii="Times New Roman" w:hAnsi="Times New Roman"/>
          <w:sz w:val="24"/>
          <w:szCs w:val="24"/>
          <w:lang w:val="ru-RU"/>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Default="00B71060" w:rsidP="001D149A">
      <w:pPr>
        <w:spacing w:after="0" w:line="480" w:lineRule="auto"/>
        <w:contextualSpacing/>
        <w:jc w:val="center"/>
        <w:rPr>
          <w:rFonts w:ascii="Times New Roman" w:hAnsi="Times New Roman"/>
          <w:sz w:val="24"/>
          <w:szCs w:val="24"/>
        </w:rPr>
      </w:pPr>
    </w:p>
    <w:p w:rsidR="00064AFA" w:rsidRDefault="00064AFA" w:rsidP="001D149A">
      <w:pPr>
        <w:spacing w:after="0" w:line="480" w:lineRule="auto"/>
        <w:contextualSpacing/>
        <w:jc w:val="center"/>
        <w:rPr>
          <w:rFonts w:ascii="Times New Roman" w:hAnsi="Times New Roman"/>
          <w:sz w:val="24"/>
          <w:szCs w:val="24"/>
        </w:rPr>
      </w:pPr>
    </w:p>
    <w:p w:rsidR="00064AFA" w:rsidRPr="001D149A" w:rsidRDefault="00064AFA" w:rsidP="001D149A">
      <w:pPr>
        <w:spacing w:after="0" w:line="480" w:lineRule="auto"/>
        <w:contextualSpacing/>
        <w:jc w:val="center"/>
        <w:rPr>
          <w:rFonts w:ascii="Times New Roman" w:hAnsi="Times New Roman"/>
          <w:sz w:val="24"/>
          <w:szCs w:val="24"/>
        </w:rPr>
      </w:pPr>
    </w:p>
    <w:p w:rsidR="00C7314B" w:rsidRDefault="006F78C7" w:rsidP="00C7314B">
      <w:pPr>
        <w:spacing w:after="0" w:line="480" w:lineRule="auto"/>
        <w:jc w:val="center"/>
        <w:rPr>
          <w:rFonts w:ascii="Times New Roman" w:hAnsi="Times New Roman"/>
          <w:sz w:val="24"/>
          <w:szCs w:val="24"/>
          <w:shd w:val="clear" w:color="auto" w:fill="FFFFFF"/>
        </w:rPr>
      </w:pPr>
      <w:r>
        <w:rPr>
          <w:rFonts w:ascii="Times New Roman" w:hAnsi="Times New Roman"/>
          <w:sz w:val="24"/>
        </w:rPr>
        <w:t>Macroeconomics</w:t>
      </w:r>
    </w:p>
    <w:p w:rsidR="00B71060" w:rsidRPr="001D149A" w:rsidRDefault="00B71060"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rsidR="00B71060" w:rsidRDefault="00B71060"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rsidR="00B81460" w:rsidRPr="001D149A" w:rsidRDefault="00B81460"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rsidR="00154E03" w:rsidRDefault="00FF557B" w:rsidP="00154E03">
      <w:pPr>
        <w:spacing w:after="0" w:line="480" w:lineRule="auto"/>
        <w:jc w:val="center"/>
        <w:rPr>
          <w:rFonts w:ascii="Times New Roman" w:hAnsi="Times New Roman"/>
          <w:sz w:val="24"/>
          <w:szCs w:val="24"/>
          <w:shd w:val="clear" w:color="auto" w:fill="FFFFFF"/>
        </w:rPr>
      </w:pPr>
      <w:r>
        <w:rPr>
          <w:rFonts w:ascii="Times New Roman" w:eastAsia="Times New Roman" w:hAnsi="Times New Roman"/>
          <w:sz w:val="24"/>
          <w:szCs w:val="24"/>
        </w:rPr>
        <w:br w:type="page"/>
      </w:r>
      <w:r w:rsidR="006F78C7">
        <w:rPr>
          <w:rFonts w:ascii="Times New Roman" w:hAnsi="Times New Roman"/>
          <w:sz w:val="24"/>
        </w:rPr>
        <w:lastRenderedPageBreak/>
        <w:t>Macroeconomics</w:t>
      </w:r>
    </w:p>
    <w:p w:rsidR="0001542A" w:rsidRPr="0001542A" w:rsidRDefault="0001542A" w:rsidP="0001542A">
      <w:pPr>
        <w:shd w:val="clear" w:color="auto" w:fill="FFFFFF"/>
        <w:suppressAutoHyphens w:val="0"/>
        <w:spacing w:after="0" w:line="480" w:lineRule="auto"/>
        <w:ind w:firstLine="720"/>
        <w:jc w:val="both"/>
        <w:rPr>
          <w:rFonts w:ascii="Times New Roman" w:eastAsia="Times New Roman" w:hAnsi="Times New Roman"/>
          <w:sz w:val="24"/>
          <w:szCs w:val="24"/>
          <w:lang w:eastAsia="en-US"/>
        </w:rPr>
      </w:pPr>
      <w:r w:rsidRPr="0001542A">
        <w:rPr>
          <w:rFonts w:ascii="Times New Roman" w:eastAsia="Times New Roman" w:hAnsi="Times New Roman"/>
          <w:sz w:val="24"/>
          <w:szCs w:val="24"/>
          <w:lang w:eastAsia="en-US"/>
        </w:rPr>
        <w:t>The performance of the economy is often influenced by decisions made by different sectors in society (Walsh, 2016). An excellent example is the government's decision, which, irr</w:t>
      </w:r>
      <w:r w:rsidR="00064AFA">
        <w:rPr>
          <w:rFonts w:ascii="Times New Roman" w:eastAsia="Times New Roman" w:hAnsi="Times New Roman"/>
          <w:sz w:val="24"/>
          <w:szCs w:val="24"/>
          <w:lang w:eastAsia="en-US"/>
        </w:rPr>
        <w:t>espective of the magnitude, has</w:t>
      </w:r>
      <w:r w:rsidRPr="0001542A">
        <w:rPr>
          <w:rFonts w:ascii="Times New Roman" w:eastAsia="Times New Roman" w:hAnsi="Times New Roman"/>
          <w:sz w:val="24"/>
          <w:szCs w:val="24"/>
          <w:lang w:eastAsia="en-US"/>
        </w:rPr>
        <w:t xml:space="preserve"> a sign</w:t>
      </w:r>
      <w:r w:rsidR="00064AFA">
        <w:rPr>
          <w:rFonts w:ascii="Times New Roman" w:eastAsia="Times New Roman" w:hAnsi="Times New Roman"/>
          <w:sz w:val="24"/>
          <w:szCs w:val="24"/>
          <w:lang w:eastAsia="en-US"/>
        </w:rPr>
        <w:t>ificant impact on the economy and this occurs</w:t>
      </w:r>
      <w:r w:rsidRPr="0001542A">
        <w:rPr>
          <w:rFonts w:ascii="Times New Roman" w:eastAsia="Times New Roman" w:hAnsi="Times New Roman"/>
          <w:sz w:val="24"/>
          <w:szCs w:val="24"/>
          <w:lang w:eastAsia="en-US"/>
        </w:rPr>
        <w:t xml:space="preserve"> since governments in developed countries form part of the biggest borrowers in world debt and employ a huge segment of the population—consequently, government policy, including monetary and fiscal policy, influence the </w:t>
      </w:r>
      <w:r w:rsidR="00064AFA" w:rsidRPr="0001542A">
        <w:rPr>
          <w:rFonts w:ascii="Times New Roman" w:eastAsia="Times New Roman" w:hAnsi="Times New Roman"/>
          <w:sz w:val="24"/>
          <w:szCs w:val="24"/>
          <w:lang w:eastAsia="en-US"/>
        </w:rPr>
        <w:t>macroeconomic</w:t>
      </w:r>
      <w:r w:rsidRPr="0001542A">
        <w:rPr>
          <w:rFonts w:ascii="Times New Roman" w:eastAsia="Times New Roman" w:hAnsi="Times New Roman"/>
          <w:sz w:val="24"/>
          <w:szCs w:val="24"/>
          <w:lang w:eastAsia="en-US"/>
        </w:rPr>
        <w:t xml:space="preserve"> and financial markets. Monetary policy involves actions by the central bank towards influencing the </w:t>
      </w:r>
      <w:r w:rsidR="005B73F0">
        <w:rPr>
          <w:rFonts w:ascii="Times New Roman" w:eastAsia="Times New Roman" w:hAnsi="Times New Roman"/>
          <w:sz w:val="24"/>
          <w:szCs w:val="24"/>
          <w:lang w:eastAsia="en-US"/>
        </w:rPr>
        <w:t>amount</w:t>
      </w:r>
      <w:r w:rsidRPr="0001542A">
        <w:rPr>
          <w:rFonts w:ascii="Times New Roman" w:eastAsia="Times New Roman" w:hAnsi="Times New Roman"/>
          <w:sz w:val="24"/>
          <w:szCs w:val="24"/>
          <w:lang w:eastAsia="en-US"/>
        </w:rPr>
        <w:t xml:space="preserve"> of credit and money in the economy. Fiscal policy, on the other hand, involves government decisions about spending and taxation. </w:t>
      </w:r>
    </w:p>
    <w:p w:rsidR="0001542A" w:rsidRPr="0001542A" w:rsidRDefault="0001542A" w:rsidP="0001542A">
      <w:pPr>
        <w:shd w:val="clear" w:color="auto" w:fill="FFFFFF"/>
        <w:suppressAutoHyphens w:val="0"/>
        <w:spacing w:after="0" w:line="480" w:lineRule="auto"/>
        <w:ind w:firstLine="720"/>
        <w:jc w:val="both"/>
        <w:rPr>
          <w:rFonts w:ascii="Times New Roman" w:eastAsia="Times New Roman" w:hAnsi="Times New Roman"/>
          <w:sz w:val="24"/>
          <w:szCs w:val="24"/>
          <w:lang w:eastAsia="en-US"/>
        </w:rPr>
      </w:pPr>
      <w:r w:rsidRPr="0001542A">
        <w:rPr>
          <w:rFonts w:ascii="Times New Roman" w:eastAsia="Times New Roman" w:hAnsi="Times New Roman"/>
          <w:sz w:val="24"/>
          <w:szCs w:val="24"/>
          <w:lang w:eastAsia="en-US"/>
        </w:rPr>
        <w:t xml:space="preserve">It is appropriate to use monetary policy to </w:t>
      </w:r>
      <w:r w:rsidR="005B73F0">
        <w:rPr>
          <w:rFonts w:ascii="Times New Roman" w:eastAsia="Times New Roman" w:hAnsi="Times New Roman"/>
          <w:sz w:val="24"/>
          <w:szCs w:val="24"/>
          <w:lang w:eastAsia="en-US"/>
        </w:rPr>
        <w:t>securing</w:t>
      </w:r>
      <w:r w:rsidRPr="0001542A">
        <w:rPr>
          <w:rFonts w:ascii="Times New Roman" w:eastAsia="Times New Roman" w:hAnsi="Times New Roman"/>
          <w:sz w:val="24"/>
          <w:szCs w:val="24"/>
          <w:lang w:eastAsia="en-US"/>
        </w:rPr>
        <w:t xml:space="preserve"> and stimulate the economy when there are economic shock and other negative forces, causing inflation and high unemployment levels. Monetary policy can be </w:t>
      </w:r>
      <w:r w:rsidR="005B73F0">
        <w:rPr>
          <w:rFonts w:ascii="Times New Roman" w:eastAsia="Times New Roman" w:hAnsi="Times New Roman"/>
          <w:sz w:val="24"/>
          <w:szCs w:val="24"/>
          <w:lang w:eastAsia="en-US"/>
        </w:rPr>
        <w:t>implemented</w:t>
      </w:r>
      <w:r w:rsidRPr="0001542A">
        <w:rPr>
          <w:rFonts w:ascii="Times New Roman" w:eastAsia="Times New Roman" w:hAnsi="Times New Roman"/>
          <w:sz w:val="24"/>
          <w:szCs w:val="24"/>
          <w:lang w:eastAsia="en-US"/>
        </w:rPr>
        <w:t xml:space="preserve"> in both scenarios to stabilize and stimulate the economy (Hansen, 2018). This is since monetary policy influences the economy through increasing and decreasing interest rates and controlling open-market operations. Therefore, to stimulate the economy, the monetary policy allows for access to credit with a </w:t>
      </w:r>
      <w:r w:rsidR="005B73F0">
        <w:rPr>
          <w:rFonts w:ascii="Times New Roman" w:eastAsia="Times New Roman" w:hAnsi="Times New Roman"/>
          <w:sz w:val="24"/>
          <w:szCs w:val="24"/>
          <w:lang w:eastAsia="en-US"/>
        </w:rPr>
        <w:t>decrease</w:t>
      </w:r>
      <w:r w:rsidRPr="0001542A">
        <w:rPr>
          <w:rFonts w:ascii="Times New Roman" w:eastAsia="Times New Roman" w:hAnsi="Times New Roman"/>
          <w:sz w:val="24"/>
          <w:szCs w:val="24"/>
          <w:lang w:eastAsia="en-US"/>
        </w:rPr>
        <w:t xml:space="preserve"> in the interest rates, which encourages investors to create more business opportunities. In order to se</w:t>
      </w:r>
      <w:r w:rsidR="005B73F0">
        <w:rPr>
          <w:rFonts w:ascii="Times New Roman" w:eastAsia="Times New Roman" w:hAnsi="Times New Roman"/>
          <w:sz w:val="24"/>
          <w:szCs w:val="24"/>
          <w:lang w:eastAsia="en-US"/>
        </w:rPr>
        <w:t>cure</w:t>
      </w:r>
      <w:r w:rsidRPr="0001542A">
        <w:rPr>
          <w:rFonts w:ascii="Times New Roman" w:eastAsia="Times New Roman" w:hAnsi="Times New Roman"/>
          <w:sz w:val="24"/>
          <w:szCs w:val="24"/>
          <w:lang w:eastAsia="en-US"/>
        </w:rPr>
        <w:t xml:space="preserve"> the economy, the monetary policy allows for an </w:t>
      </w:r>
      <w:r w:rsidR="005B73F0">
        <w:rPr>
          <w:rFonts w:ascii="Times New Roman" w:eastAsia="Times New Roman" w:hAnsi="Times New Roman"/>
          <w:sz w:val="24"/>
          <w:szCs w:val="24"/>
          <w:lang w:eastAsia="en-US"/>
        </w:rPr>
        <w:t>expansion</w:t>
      </w:r>
      <w:r w:rsidRPr="0001542A">
        <w:rPr>
          <w:rFonts w:ascii="Times New Roman" w:eastAsia="Times New Roman" w:hAnsi="Times New Roman"/>
          <w:sz w:val="24"/>
          <w:szCs w:val="24"/>
          <w:lang w:eastAsia="en-US"/>
        </w:rPr>
        <w:t xml:space="preserve"> in the interest rates to reduce the rate of issuing credit to reduce money in the economy.</w:t>
      </w:r>
    </w:p>
    <w:p w:rsidR="0001542A" w:rsidRPr="0001542A" w:rsidRDefault="0001542A" w:rsidP="0001542A">
      <w:pPr>
        <w:shd w:val="clear" w:color="auto" w:fill="FFFFFF"/>
        <w:suppressAutoHyphens w:val="0"/>
        <w:spacing w:after="0" w:line="480" w:lineRule="auto"/>
        <w:ind w:firstLine="720"/>
        <w:jc w:val="both"/>
        <w:rPr>
          <w:rFonts w:ascii="Times New Roman" w:eastAsia="Times New Roman" w:hAnsi="Times New Roman"/>
          <w:sz w:val="24"/>
          <w:szCs w:val="24"/>
          <w:lang w:eastAsia="en-US"/>
        </w:rPr>
      </w:pPr>
      <w:r w:rsidRPr="0001542A">
        <w:rPr>
          <w:rFonts w:ascii="Times New Roman" w:eastAsia="Times New Roman" w:hAnsi="Times New Roman"/>
          <w:sz w:val="24"/>
          <w:szCs w:val="24"/>
          <w:lang w:eastAsia="en-US"/>
        </w:rPr>
        <w:t xml:space="preserve">Similarly, fiscal policy can stabilize and stimulate the economy through the two types, expansionary and contractionary (Corsetti et al., 2019). Mostly used during a recession, expansionary fiscal policy is appropriate to use when aiming to stimulate the economy since it involves the government reducing taxes and increasing their spending. On the other side, contractionary fiscal policy is appropriate to stabilize the economy by raising taxes and reducing government spending. </w:t>
      </w:r>
    </w:p>
    <w:p w:rsidR="0001542A" w:rsidRPr="0001542A" w:rsidRDefault="0001542A" w:rsidP="0001542A">
      <w:pPr>
        <w:shd w:val="clear" w:color="auto" w:fill="FFFFFF"/>
        <w:suppressAutoHyphens w:val="0"/>
        <w:spacing w:after="0" w:line="480" w:lineRule="auto"/>
        <w:ind w:firstLine="720"/>
        <w:jc w:val="both"/>
        <w:rPr>
          <w:rFonts w:ascii="Times New Roman" w:eastAsia="Times New Roman" w:hAnsi="Times New Roman"/>
          <w:sz w:val="24"/>
          <w:szCs w:val="24"/>
          <w:lang w:eastAsia="en-US"/>
        </w:rPr>
      </w:pPr>
      <w:r w:rsidRPr="0001542A">
        <w:rPr>
          <w:rFonts w:ascii="Times New Roman" w:eastAsia="Times New Roman" w:hAnsi="Times New Roman"/>
          <w:sz w:val="24"/>
          <w:szCs w:val="24"/>
          <w:lang w:eastAsia="en-US"/>
        </w:rPr>
        <w:t xml:space="preserve">By definition, aggregate demand refers to the measurement and analysis of the demand of all finished goods and services produced in an economy (Hansen, 2018). When this measurement is conducted for long periods, it refers to the GDP. Two major tools play a part in fiscal </w:t>
      </w:r>
      <w:r w:rsidR="00064AFA" w:rsidRPr="0001542A">
        <w:rPr>
          <w:rFonts w:ascii="Times New Roman" w:eastAsia="Times New Roman" w:hAnsi="Times New Roman"/>
          <w:sz w:val="24"/>
          <w:szCs w:val="24"/>
          <w:lang w:eastAsia="en-US"/>
        </w:rPr>
        <w:t>policy that</w:t>
      </w:r>
      <w:r w:rsidRPr="0001542A">
        <w:rPr>
          <w:rFonts w:ascii="Times New Roman" w:eastAsia="Times New Roman" w:hAnsi="Times New Roman"/>
          <w:sz w:val="24"/>
          <w:szCs w:val="24"/>
          <w:lang w:eastAsia="en-US"/>
        </w:rPr>
        <w:t xml:space="preserve"> is interest rates and tax rates. However, interest rates can be used specifically to stimulate aggregate demand. Any recorded changes in the interest rates influence the decisions made by both the consumers and the investors. Thus, a fall in the interest rates of offered credit results to an increase in borrowing. Therefore, more people will be able to access products such as vehicles and homes, leading to increased capital spending.</w:t>
      </w:r>
    </w:p>
    <w:p w:rsidR="0001542A" w:rsidRPr="0001542A" w:rsidRDefault="0001542A" w:rsidP="0001542A">
      <w:pPr>
        <w:shd w:val="clear" w:color="auto" w:fill="FFFFFF"/>
        <w:suppressAutoHyphens w:val="0"/>
        <w:spacing w:after="0" w:line="480" w:lineRule="auto"/>
        <w:ind w:firstLine="720"/>
        <w:jc w:val="both"/>
        <w:rPr>
          <w:rFonts w:ascii="Times New Roman" w:eastAsia="Times New Roman" w:hAnsi="Times New Roman"/>
          <w:sz w:val="24"/>
          <w:szCs w:val="24"/>
          <w:lang w:eastAsia="en-US"/>
        </w:rPr>
      </w:pPr>
      <w:r w:rsidRPr="0001542A">
        <w:rPr>
          <w:rFonts w:ascii="Times New Roman" w:eastAsia="Times New Roman" w:hAnsi="Times New Roman"/>
          <w:sz w:val="24"/>
          <w:szCs w:val="24"/>
          <w:lang w:eastAsia="en-US"/>
        </w:rPr>
        <w:t xml:space="preserve">Various tools play a part in implementing monetary policy, including discount rates, reserve </w:t>
      </w:r>
      <w:r w:rsidR="005B73F0">
        <w:rPr>
          <w:rFonts w:ascii="Times New Roman" w:eastAsia="Times New Roman" w:hAnsi="Times New Roman"/>
          <w:sz w:val="24"/>
          <w:szCs w:val="24"/>
          <w:lang w:eastAsia="en-US"/>
        </w:rPr>
        <w:t>specification</w:t>
      </w:r>
      <w:r w:rsidRPr="0001542A">
        <w:rPr>
          <w:rFonts w:ascii="Times New Roman" w:eastAsia="Times New Roman" w:hAnsi="Times New Roman"/>
          <w:sz w:val="24"/>
          <w:szCs w:val="24"/>
          <w:lang w:eastAsia="en-US"/>
        </w:rPr>
        <w:t>s, and open market operations (Federal Reserve, 2020). However, among all these tools, the federal government often uses open market operations as the prim</w:t>
      </w:r>
      <w:r w:rsidR="005B73F0">
        <w:rPr>
          <w:rFonts w:ascii="Times New Roman" w:eastAsia="Times New Roman" w:hAnsi="Times New Roman"/>
          <w:sz w:val="24"/>
          <w:szCs w:val="24"/>
          <w:lang w:eastAsia="en-US"/>
        </w:rPr>
        <w:t>e</w:t>
      </w:r>
      <w:r w:rsidRPr="0001542A">
        <w:rPr>
          <w:rFonts w:ascii="Times New Roman" w:eastAsia="Times New Roman" w:hAnsi="Times New Roman"/>
          <w:sz w:val="24"/>
          <w:szCs w:val="24"/>
          <w:lang w:eastAsia="en-US"/>
        </w:rPr>
        <w:t xml:space="preserve"> tool to stimulate aggregate demand. This tool involves the buying and selling of financial </w:t>
      </w:r>
      <w:r w:rsidR="00BB3620">
        <w:rPr>
          <w:rFonts w:ascii="Times New Roman" w:eastAsia="Times New Roman" w:hAnsi="Times New Roman"/>
          <w:sz w:val="24"/>
          <w:szCs w:val="24"/>
          <w:lang w:eastAsia="en-US"/>
        </w:rPr>
        <w:t>tools</w:t>
      </w:r>
      <w:r w:rsidRPr="0001542A">
        <w:rPr>
          <w:rFonts w:ascii="Times New Roman" w:eastAsia="Times New Roman" w:hAnsi="Times New Roman"/>
          <w:sz w:val="24"/>
          <w:szCs w:val="24"/>
          <w:lang w:eastAsia="en-US"/>
        </w:rPr>
        <w:t xml:space="preserve"> by the Federal Reserve. These financial instruments include securities issued by Federal agencies and the US Treasury (Federal Reserve, 2020). By buying securities, the Federal Reserve increases the operation of the capacity of bank reserves, which then increases the federal funds rate. Therefore, due to the positive influence on the federal funds rate, this increases credit availability from banks in the economy.</w:t>
      </w:r>
    </w:p>
    <w:p w:rsidR="00F2391A" w:rsidRPr="00FD0EA7" w:rsidRDefault="0001542A" w:rsidP="0001542A">
      <w:pPr>
        <w:shd w:val="clear" w:color="auto" w:fill="FFFFFF"/>
        <w:suppressAutoHyphens w:val="0"/>
        <w:spacing w:after="0" w:line="480" w:lineRule="auto"/>
        <w:ind w:firstLine="720"/>
        <w:jc w:val="both"/>
        <w:rPr>
          <w:rFonts w:ascii="Times New Roman" w:eastAsia="Times New Roman" w:hAnsi="Times New Roman"/>
          <w:sz w:val="24"/>
          <w:szCs w:val="24"/>
        </w:rPr>
      </w:pPr>
      <w:r w:rsidRPr="0001542A">
        <w:rPr>
          <w:rFonts w:ascii="Times New Roman" w:eastAsia="Times New Roman" w:hAnsi="Times New Roman"/>
          <w:sz w:val="24"/>
          <w:szCs w:val="24"/>
          <w:lang w:eastAsia="en-US"/>
        </w:rPr>
        <w:t xml:space="preserve">Based on the given information, monetary and fiscal </w:t>
      </w:r>
      <w:r w:rsidR="00CA2B3E" w:rsidRPr="0001542A">
        <w:rPr>
          <w:rFonts w:ascii="Times New Roman" w:eastAsia="Times New Roman" w:hAnsi="Times New Roman"/>
          <w:sz w:val="24"/>
          <w:szCs w:val="24"/>
          <w:lang w:eastAsia="en-US"/>
        </w:rPr>
        <w:t>policy plays</w:t>
      </w:r>
      <w:r w:rsidRPr="0001542A">
        <w:rPr>
          <w:rFonts w:ascii="Times New Roman" w:eastAsia="Times New Roman" w:hAnsi="Times New Roman"/>
          <w:sz w:val="24"/>
          <w:szCs w:val="24"/>
          <w:lang w:eastAsia="en-US"/>
        </w:rPr>
        <w:t xml:space="preserve"> a significant part in stimulating aggregate demand; therefore, policymakers should use both. The implementation of the open market operations tool under the monetary policy is more effective when supported by the fiscal policy's interest rates tool. Therefore, once there is an increase in the reserves due to the Federal Reserve buying securities, the availability of credit in the economy increases. As guided by fiscal policy, the interest rates should fall to encourage consumers and entrepreneurs to access credit.</w:t>
      </w:r>
      <w:r w:rsidR="00FD0EA7">
        <w:rPr>
          <w:rFonts w:ascii="Times New Roman" w:eastAsia="Times New Roman" w:hAnsi="Times New Roman"/>
          <w:sz w:val="24"/>
          <w:szCs w:val="24"/>
        </w:rPr>
        <w:br w:type="page"/>
      </w:r>
    </w:p>
    <w:p w:rsidR="00087B62" w:rsidRPr="00D603E0" w:rsidRDefault="00D603E0" w:rsidP="00154E03">
      <w:pPr>
        <w:spacing w:after="0" w:line="480" w:lineRule="auto"/>
        <w:contextualSpacing/>
        <w:jc w:val="center"/>
        <w:rPr>
          <w:rFonts w:ascii="Times New Roman" w:hAnsi="Times New Roman"/>
          <w:sz w:val="24"/>
          <w:szCs w:val="24"/>
          <w:shd w:val="clear" w:color="auto" w:fill="FFFFFF"/>
        </w:rPr>
      </w:pPr>
      <w:r w:rsidRPr="00D603E0">
        <w:rPr>
          <w:rFonts w:ascii="Times New Roman" w:hAnsi="Times New Roman"/>
          <w:sz w:val="24"/>
          <w:szCs w:val="24"/>
          <w:shd w:val="clear" w:color="auto" w:fill="FFFFFF"/>
        </w:rPr>
        <w:t>References</w:t>
      </w:r>
    </w:p>
    <w:p w:rsidR="00ED48AF" w:rsidRDefault="00ED48AF" w:rsidP="00D603E0">
      <w:pPr>
        <w:spacing w:after="0" w:line="480" w:lineRule="auto"/>
        <w:ind w:left="720" w:hanging="720"/>
        <w:contextualSpacing/>
        <w:jc w:val="both"/>
        <w:rPr>
          <w:rFonts w:ascii="Times New Roman" w:hAnsi="Times New Roman"/>
          <w:sz w:val="24"/>
          <w:szCs w:val="24"/>
          <w:shd w:val="clear" w:color="auto" w:fill="FFFFFF"/>
        </w:rPr>
      </w:pPr>
      <w:r w:rsidRPr="00EF48E4">
        <w:rPr>
          <w:rFonts w:ascii="Times New Roman" w:hAnsi="Times New Roman"/>
          <w:sz w:val="24"/>
          <w:szCs w:val="24"/>
          <w:shd w:val="clear" w:color="auto" w:fill="FFFFFF"/>
        </w:rPr>
        <w:t>Corsetti, G., Dedola, L., Jarociński, M., Maćkowiak, B., &amp; Schmidt, S. (2019). Macroeconomic stabilization, monetary-fiscal interactions, and Europe's monetary union. </w:t>
      </w:r>
      <w:r w:rsidRPr="00EF48E4">
        <w:rPr>
          <w:rFonts w:ascii="Times New Roman" w:hAnsi="Times New Roman"/>
          <w:i/>
          <w:iCs/>
          <w:sz w:val="24"/>
          <w:szCs w:val="24"/>
          <w:shd w:val="clear" w:color="auto" w:fill="FFFFFF"/>
        </w:rPr>
        <w:t>European Journal of Political Economy</w:t>
      </w:r>
      <w:r w:rsidRPr="00EF48E4">
        <w:rPr>
          <w:rFonts w:ascii="Times New Roman" w:hAnsi="Times New Roman"/>
          <w:sz w:val="24"/>
          <w:szCs w:val="24"/>
          <w:shd w:val="clear" w:color="auto" w:fill="FFFFFF"/>
        </w:rPr>
        <w:t>, </w:t>
      </w:r>
      <w:r w:rsidRPr="00EF48E4">
        <w:rPr>
          <w:rFonts w:ascii="Times New Roman" w:hAnsi="Times New Roman"/>
          <w:i/>
          <w:iCs/>
          <w:sz w:val="24"/>
          <w:szCs w:val="24"/>
          <w:shd w:val="clear" w:color="auto" w:fill="FFFFFF"/>
        </w:rPr>
        <w:t>57</w:t>
      </w:r>
      <w:r w:rsidRPr="00EF48E4">
        <w:rPr>
          <w:rFonts w:ascii="Times New Roman" w:hAnsi="Times New Roman"/>
          <w:sz w:val="24"/>
          <w:szCs w:val="24"/>
          <w:shd w:val="clear" w:color="auto" w:fill="FFFFFF"/>
        </w:rPr>
        <w:t>, 22-33.</w:t>
      </w:r>
    </w:p>
    <w:p w:rsidR="00EF48E4" w:rsidRPr="00EF48E4" w:rsidRDefault="00EF48E4" w:rsidP="00EF48E4">
      <w:pPr>
        <w:spacing w:after="0" w:line="480" w:lineRule="auto"/>
        <w:ind w:left="720" w:hanging="720"/>
        <w:contextualSpacing/>
        <w:jc w:val="both"/>
        <w:rPr>
          <w:rFonts w:ascii="Times New Roman" w:hAnsi="Times New Roman"/>
          <w:sz w:val="24"/>
          <w:szCs w:val="24"/>
          <w:shd w:val="clear" w:color="auto" w:fill="FFFFFF"/>
        </w:rPr>
      </w:pPr>
      <w:r w:rsidRPr="00EF48E4">
        <w:rPr>
          <w:rFonts w:ascii="Times New Roman" w:hAnsi="Times New Roman"/>
          <w:sz w:val="24"/>
          <w:szCs w:val="24"/>
          <w:shd w:val="clear" w:color="auto" w:fill="FFFFFF"/>
        </w:rPr>
        <w:t>Federal Reserve. (2020). Monetary Policy Basics. Retrieved 17 August 2020, from https://www.federalreserveeducation.org/about-the-fed/structure-and-functions/monetary-policy</w:t>
      </w:r>
    </w:p>
    <w:p w:rsidR="00F02B23" w:rsidRPr="00EF48E4" w:rsidRDefault="00F02B23" w:rsidP="00D603E0">
      <w:pPr>
        <w:spacing w:after="0" w:line="480" w:lineRule="auto"/>
        <w:ind w:left="720" w:hanging="720"/>
        <w:contextualSpacing/>
        <w:jc w:val="both"/>
        <w:rPr>
          <w:rFonts w:ascii="Times New Roman" w:hAnsi="Times New Roman"/>
          <w:sz w:val="24"/>
          <w:szCs w:val="24"/>
          <w:shd w:val="clear" w:color="auto" w:fill="FFFFFF"/>
        </w:rPr>
      </w:pPr>
      <w:r w:rsidRPr="00EF48E4">
        <w:rPr>
          <w:rFonts w:ascii="Times New Roman" w:hAnsi="Times New Roman"/>
          <w:sz w:val="24"/>
          <w:szCs w:val="24"/>
          <w:shd w:val="clear" w:color="auto" w:fill="FFFFFF"/>
        </w:rPr>
        <w:t>Hansen, A. H. (2018). </w:t>
      </w:r>
      <w:r w:rsidRPr="00EF48E4">
        <w:rPr>
          <w:rFonts w:ascii="Times New Roman" w:hAnsi="Times New Roman"/>
          <w:i/>
          <w:iCs/>
          <w:sz w:val="24"/>
          <w:szCs w:val="24"/>
          <w:shd w:val="clear" w:color="auto" w:fill="FFFFFF"/>
        </w:rPr>
        <w:t>Monetary theory and fiscal policy</w:t>
      </w:r>
      <w:r w:rsidRPr="00EF48E4">
        <w:rPr>
          <w:rFonts w:ascii="Times New Roman" w:hAnsi="Times New Roman"/>
          <w:sz w:val="24"/>
          <w:szCs w:val="24"/>
          <w:shd w:val="clear" w:color="auto" w:fill="FFFFFF"/>
        </w:rPr>
        <w:t>. Pickle Partners Publishing.</w:t>
      </w:r>
    </w:p>
    <w:p w:rsidR="001319E4" w:rsidRPr="00EF48E4" w:rsidRDefault="004B206D" w:rsidP="00D603E0">
      <w:pPr>
        <w:spacing w:after="0" w:line="480" w:lineRule="auto"/>
        <w:ind w:left="720" w:hanging="720"/>
        <w:contextualSpacing/>
        <w:jc w:val="both"/>
        <w:rPr>
          <w:rFonts w:ascii="Times New Roman" w:hAnsi="Times New Roman"/>
          <w:sz w:val="24"/>
          <w:szCs w:val="24"/>
          <w:shd w:val="clear" w:color="auto" w:fill="FFFFFF"/>
        </w:rPr>
      </w:pPr>
      <w:r w:rsidRPr="00EF48E4">
        <w:rPr>
          <w:rFonts w:ascii="Times New Roman" w:hAnsi="Times New Roman"/>
          <w:sz w:val="24"/>
          <w:szCs w:val="24"/>
          <w:shd w:val="clear" w:color="auto" w:fill="FFFFFF"/>
        </w:rPr>
        <w:t>Walsh, C. E. (2016). Using monetary policy to stabilize economic activity. </w:t>
      </w:r>
      <w:r w:rsidRPr="00EF48E4">
        <w:rPr>
          <w:rFonts w:ascii="Times New Roman" w:hAnsi="Times New Roman"/>
          <w:i/>
          <w:iCs/>
          <w:sz w:val="24"/>
          <w:szCs w:val="24"/>
          <w:shd w:val="clear" w:color="auto" w:fill="FFFFFF"/>
        </w:rPr>
        <w:t>Financial Stability and Macroeconomic Policy</w:t>
      </w:r>
      <w:r w:rsidRPr="00EF48E4">
        <w:rPr>
          <w:rFonts w:ascii="Times New Roman" w:hAnsi="Times New Roman"/>
          <w:sz w:val="24"/>
          <w:szCs w:val="24"/>
          <w:shd w:val="clear" w:color="auto" w:fill="FFFFFF"/>
        </w:rPr>
        <w:t>, </w:t>
      </w:r>
      <w:r w:rsidRPr="00EF48E4">
        <w:rPr>
          <w:rFonts w:ascii="Times New Roman" w:hAnsi="Times New Roman"/>
          <w:i/>
          <w:iCs/>
          <w:sz w:val="24"/>
          <w:szCs w:val="24"/>
          <w:shd w:val="clear" w:color="auto" w:fill="FFFFFF"/>
        </w:rPr>
        <w:t>245</w:t>
      </w:r>
      <w:r w:rsidRPr="00EF48E4">
        <w:rPr>
          <w:rFonts w:ascii="Times New Roman" w:hAnsi="Times New Roman"/>
          <w:sz w:val="24"/>
          <w:szCs w:val="24"/>
          <w:shd w:val="clear" w:color="auto" w:fill="FFFFFF"/>
        </w:rPr>
        <w:t>, 296.</w:t>
      </w:r>
    </w:p>
    <w:sectPr w:rsidR="001319E4" w:rsidRPr="00EF48E4" w:rsidSect="000E75B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90C1A" w:rsidRDefault="00690C1A">
      <w:r>
        <w:separator/>
      </w:r>
    </w:p>
  </w:endnote>
  <w:endnote w:type="continuationSeparator" w:id="1">
    <w:p w:rsidR="00690C1A" w:rsidRDefault="00690C1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90C1A" w:rsidRDefault="00690C1A">
      <w:r>
        <w:separator/>
      </w:r>
    </w:p>
  </w:footnote>
  <w:footnote w:type="continuationSeparator" w:id="1">
    <w:p w:rsidR="00690C1A" w:rsidRDefault="00690C1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A40055" w:rsidRDefault="006F78C7">
    <w:pPr>
      <w:spacing w:after="0" w:line="480" w:lineRule="auto"/>
      <w:contextualSpacing/>
      <w:rPr>
        <w:rFonts w:ascii="Times New Roman" w:hAnsi="Times New Roman"/>
      </w:rPr>
    </w:pPr>
    <w:r>
      <w:rPr>
        <w:rFonts w:ascii="Times New Roman" w:hAnsi="Times New Roman"/>
        <w:sz w:val="24"/>
      </w:rPr>
      <w:t>MACROECONOMICS</w:t>
    </w:r>
    <w:r w:rsidR="00064AFA">
      <w:rPr>
        <w:rFonts w:ascii="Times New Roman" w:hAnsi="Times New Roman"/>
        <w:sz w:val="24"/>
      </w:rPr>
      <w:t xml:space="preserve">                                                                                                         </w:t>
    </w:r>
    <w:r>
      <w:rPr>
        <w:rFonts w:ascii="Times New Roman" w:hAnsi="Times New Roman"/>
        <w:sz w:val="24"/>
      </w:rPr>
      <w:t xml:space="preserve">    </w:t>
    </w:r>
    <w:r w:rsidR="00AB69A6" w:rsidRPr="00A40055">
      <w:rPr>
        <w:rFonts w:ascii="Times New Roman" w:hAnsi="Times New Roman"/>
        <w:sz w:val="24"/>
        <w:szCs w:val="24"/>
      </w:rPr>
      <w:fldChar w:fldCharType="begin"/>
    </w:r>
    <w:r w:rsidR="007B4DB9" w:rsidRPr="00A40055">
      <w:rPr>
        <w:rFonts w:ascii="Times New Roman" w:hAnsi="Times New Roman"/>
        <w:sz w:val="24"/>
        <w:szCs w:val="24"/>
      </w:rPr>
      <w:instrText xml:space="preserve"> PAGE </w:instrText>
    </w:r>
    <w:r w:rsidR="00AB69A6" w:rsidRPr="00A40055">
      <w:rPr>
        <w:rFonts w:ascii="Times New Roman" w:hAnsi="Times New Roman"/>
        <w:sz w:val="24"/>
        <w:szCs w:val="24"/>
      </w:rPr>
      <w:fldChar w:fldCharType="separate"/>
    </w:r>
    <w:r w:rsidR="00CA2B3E">
      <w:rPr>
        <w:rFonts w:ascii="Times New Roman" w:hAnsi="Times New Roman"/>
        <w:noProof/>
        <w:sz w:val="24"/>
        <w:szCs w:val="24"/>
      </w:rPr>
      <w:t>2</w:t>
    </w:r>
    <w:r w:rsidR="00AB69A6" w:rsidRPr="00A40055">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Default="007B4DB9" w:rsidP="00C7314B">
    <w:pPr>
      <w:spacing w:after="0" w:line="480" w:lineRule="auto"/>
    </w:pPr>
    <w:r>
      <w:rPr>
        <w:rFonts w:ascii="Times New Roman" w:hAnsi="Times New Roman"/>
        <w:sz w:val="24"/>
      </w:rPr>
      <w:t xml:space="preserve">Running </w:t>
    </w:r>
    <w:r w:rsidR="00064AFA">
      <w:rPr>
        <w:rFonts w:ascii="Times New Roman" w:hAnsi="Times New Roman"/>
        <w:sz w:val="24"/>
      </w:rPr>
      <w:t xml:space="preserve">head: MACROECONOMICS                                                                                         </w:t>
    </w:r>
    <w:r>
      <w:rPr>
        <w:rFonts w:ascii="Times New Roman" w:hAnsi="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574AC5"/>
    <w:multiLevelType w:val="hybridMultilevel"/>
    <w:tmpl w:val="4434E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savePreviewPicture/>
  <w:hdrShapeDefaults>
    <o:shapedefaults v:ext="edit" spidmax="819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132E3"/>
    <w:rsid w:val="00013DD9"/>
    <w:rsid w:val="000149EC"/>
    <w:rsid w:val="0001542A"/>
    <w:rsid w:val="000216C3"/>
    <w:rsid w:val="00026B04"/>
    <w:rsid w:val="00044B2D"/>
    <w:rsid w:val="000465F4"/>
    <w:rsid w:val="00050361"/>
    <w:rsid w:val="00064AFA"/>
    <w:rsid w:val="000751B3"/>
    <w:rsid w:val="00080FCD"/>
    <w:rsid w:val="00087B62"/>
    <w:rsid w:val="000B3434"/>
    <w:rsid w:val="000C5BB3"/>
    <w:rsid w:val="000D646B"/>
    <w:rsid w:val="000E75B2"/>
    <w:rsid w:val="000F2717"/>
    <w:rsid w:val="000F5A80"/>
    <w:rsid w:val="00107E33"/>
    <w:rsid w:val="00107F64"/>
    <w:rsid w:val="00113FFC"/>
    <w:rsid w:val="0013043C"/>
    <w:rsid w:val="00130868"/>
    <w:rsid w:val="001319E4"/>
    <w:rsid w:val="0015018F"/>
    <w:rsid w:val="00150263"/>
    <w:rsid w:val="00150877"/>
    <w:rsid w:val="00154E03"/>
    <w:rsid w:val="001705D6"/>
    <w:rsid w:val="001825A1"/>
    <w:rsid w:val="001A2A5D"/>
    <w:rsid w:val="001D149A"/>
    <w:rsid w:val="001D2B10"/>
    <w:rsid w:val="001D4F06"/>
    <w:rsid w:val="00223D21"/>
    <w:rsid w:val="0023661E"/>
    <w:rsid w:val="0026185F"/>
    <w:rsid w:val="002750BD"/>
    <w:rsid w:val="00284A05"/>
    <w:rsid w:val="002A0666"/>
    <w:rsid w:val="002A2F6E"/>
    <w:rsid w:val="002D3D48"/>
    <w:rsid w:val="002D4C10"/>
    <w:rsid w:val="002F447F"/>
    <w:rsid w:val="003073D4"/>
    <w:rsid w:val="003114D3"/>
    <w:rsid w:val="00314B40"/>
    <w:rsid w:val="003154AA"/>
    <w:rsid w:val="00333A6A"/>
    <w:rsid w:val="00337292"/>
    <w:rsid w:val="00352B71"/>
    <w:rsid w:val="003A6485"/>
    <w:rsid w:val="003B3C46"/>
    <w:rsid w:val="003C7657"/>
    <w:rsid w:val="003D6FDA"/>
    <w:rsid w:val="003E7CB9"/>
    <w:rsid w:val="003F475E"/>
    <w:rsid w:val="003F659E"/>
    <w:rsid w:val="004447C1"/>
    <w:rsid w:val="00455CF3"/>
    <w:rsid w:val="00470CCD"/>
    <w:rsid w:val="00475DDA"/>
    <w:rsid w:val="004B206D"/>
    <w:rsid w:val="004C294C"/>
    <w:rsid w:val="00505B1F"/>
    <w:rsid w:val="005175E5"/>
    <w:rsid w:val="0052453D"/>
    <w:rsid w:val="005421E9"/>
    <w:rsid w:val="005667F6"/>
    <w:rsid w:val="005737A3"/>
    <w:rsid w:val="00593461"/>
    <w:rsid w:val="005A6C60"/>
    <w:rsid w:val="005B73F0"/>
    <w:rsid w:val="005B78F9"/>
    <w:rsid w:val="005D2B82"/>
    <w:rsid w:val="005E4FC7"/>
    <w:rsid w:val="005E50C8"/>
    <w:rsid w:val="005F690D"/>
    <w:rsid w:val="00612942"/>
    <w:rsid w:val="00621EDC"/>
    <w:rsid w:val="00624D78"/>
    <w:rsid w:val="006522DA"/>
    <w:rsid w:val="00663437"/>
    <w:rsid w:val="00666586"/>
    <w:rsid w:val="006717A9"/>
    <w:rsid w:val="00674D0D"/>
    <w:rsid w:val="006825EE"/>
    <w:rsid w:val="00690C1A"/>
    <w:rsid w:val="006A0524"/>
    <w:rsid w:val="006C23C0"/>
    <w:rsid w:val="006D78EC"/>
    <w:rsid w:val="006F78C7"/>
    <w:rsid w:val="007122EF"/>
    <w:rsid w:val="00714872"/>
    <w:rsid w:val="0074067A"/>
    <w:rsid w:val="00792AA3"/>
    <w:rsid w:val="00792D99"/>
    <w:rsid w:val="007B2C2F"/>
    <w:rsid w:val="007B3261"/>
    <w:rsid w:val="007B3937"/>
    <w:rsid w:val="007B4DB9"/>
    <w:rsid w:val="007B5318"/>
    <w:rsid w:val="00802E45"/>
    <w:rsid w:val="00805ED6"/>
    <w:rsid w:val="00807470"/>
    <w:rsid w:val="00820A70"/>
    <w:rsid w:val="0085790F"/>
    <w:rsid w:val="0087015E"/>
    <w:rsid w:val="008958BF"/>
    <w:rsid w:val="008C52FE"/>
    <w:rsid w:val="008D2B08"/>
    <w:rsid w:val="008E05DB"/>
    <w:rsid w:val="008E18E6"/>
    <w:rsid w:val="008F64D9"/>
    <w:rsid w:val="00913C99"/>
    <w:rsid w:val="00932206"/>
    <w:rsid w:val="0093408A"/>
    <w:rsid w:val="00940859"/>
    <w:rsid w:val="00961A71"/>
    <w:rsid w:val="009626E1"/>
    <w:rsid w:val="0096275F"/>
    <w:rsid w:val="009829DF"/>
    <w:rsid w:val="009863AA"/>
    <w:rsid w:val="009C27C7"/>
    <w:rsid w:val="009F1153"/>
    <w:rsid w:val="00A016F0"/>
    <w:rsid w:val="00A02242"/>
    <w:rsid w:val="00A05727"/>
    <w:rsid w:val="00A24F42"/>
    <w:rsid w:val="00A40055"/>
    <w:rsid w:val="00A569E5"/>
    <w:rsid w:val="00A6346A"/>
    <w:rsid w:val="00A6594B"/>
    <w:rsid w:val="00A82C60"/>
    <w:rsid w:val="00A943A6"/>
    <w:rsid w:val="00A96E99"/>
    <w:rsid w:val="00AA54D3"/>
    <w:rsid w:val="00AA6949"/>
    <w:rsid w:val="00AB55E8"/>
    <w:rsid w:val="00AB69A6"/>
    <w:rsid w:val="00AC1E27"/>
    <w:rsid w:val="00AE2342"/>
    <w:rsid w:val="00AF7194"/>
    <w:rsid w:val="00B04EE8"/>
    <w:rsid w:val="00B17BD2"/>
    <w:rsid w:val="00B40DBF"/>
    <w:rsid w:val="00B71060"/>
    <w:rsid w:val="00B81460"/>
    <w:rsid w:val="00BB3620"/>
    <w:rsid w:val="00BB541B"/>
    <w:rsid w:val="00BF1B7A"/>
    <w:rsid w:val="00C03B50"/>
    <w:rsid w:val="00C16ECA"/>
    <w:rsid w:val="00C414E2"/>
    <w:rsid w:val="00C46565"/>
    <w:rsid w:val="00C52312"/>
    <w:rsid w:val="00C7314B"/>
    <w:rsid w:val="00C85D75"/>
    <w:rsid w:val="00C8604C"/>
    <w:rsid w:val="00CA0E96"/>
    <w:rsid w:val="00CA2B3E"/>
    <w:rsid w:val="00CA5D31"/>
    <w:rsid w:val="00CB315E"/>
    <w:rsid w:val="00CC3FBB"/>
    <w:rsid w:val="00CD2978"/>
    <w:rsid w:val="00CE2349"/>
    <w:rsid w:val="00CF3A20"/>
    <w:rsid w:val="00CF56F7"/>
    <w:rsid w:val="00D3035F"/>
    <w:rsid w:val="00D603E0"/>
    <w:rsid w:val="00D63983"/>
    <w:rsid w:val="00D639C8"/>
    <w:rsid w:val="00DE3CE3"/>
    <w:rsid w:val="00E06003"/>
    <w:rsid w:val="00E1455F"/>
    <w:rsid w:val="00E20901"/>
    <w:rsid w:val="00EA4D0D"/>
    <w:rsid w:val="00EC1E7D"/>
    <w:rsid w:val="00ED48AF"/>
    <w:rsid w:val="00ED7615"/>
    <w:rsid w:val="00EE2423"/>
    <w:rsid w:val="00EF48E4"/>
    <w:rsid w:val="00F00438"/>
    <w:rsid w:val="00F02B23"/>
    <w:rsid w:val="00F137B6"/>
    <w:rsid w:val="00F16465"/>
    <w:rsid w:val="00F223FC"/>
    <w:rsid w:val="00F2391A"/>
    <w:rsid w:val="00F52648"/>
    <w:rsid w:val="00F85804"/>
    <w:rsid w:val="00F87BF7"/>
    <w:rsid w:val="00FD0EA7"/>
    <w:rsid w:val="00FE5128"/>
    <w:rsid w:val="00FF1B43"/>
    <w:rsid w:val="00FF55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E75B2"/>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0E75B2"/>
    <w:rPr>
      <w:rFonts w:ascii="Symbol" w:hAnsi="Symbol" w:cs="Symbol" w:hint="default"/>
    </w:rPr>
  </w:style>
  <w:style w:type="character" w:customStyle="1" w:styleId="WW8Num1z1">
    <w:name w:val="WW8Num1z1"/>
    <w:rsid w:val="000E75B2"/>
    <w:rPr>
      <w:rFonts w:ascii="Courier New" w:hAnsi="Courier New" w:cs="Courier New" w:hint="default"/>
    </w:rPr>
  </w:style>
  <w:style w:type="character" w:customStyle="1" w:styleId="WW8Num1z2">
    <w:name w:val="WW8Num1z2"/>
    <w:rsid w:val="000E75B2"/>
    <w:rPr>
      <w:rFonts w:ascii="Wingdings" w:hAnsi="Wingdings" w:cs="Wingdings" w:hint="default"/>
    </w:rPr>
  </w:style>
  <w:style w:type="character" w:customStyle="1" w:styleId="3">
    <w:name w:val="Основной шрифт абзаца3"/>
    <w:rsid w:val="000E75B2"/>
  </w:style>
  <w:style w:type="character" w:customStyle="1" w:styleId="5">
    <w:name w:val="Знак Знак5"/>
    <w:rsid w:val="000E75B2"/>
    <w:rPr>
      <w:sz w:val="22"/>
      <w:szCs w:val="22"/>
      <w:lang w:val="en-US"/>
    </w:rPr>
  </w:style>
  <w:style w:type="character" w:customStyle="1" w:styleId="4">
    <w:name w:val="Знак Знак4"/>
    <w:rsid w:val="000E75B2"/>
    <w:rPr>
      <w:sz w:val="22"/>
      <w:szCs w:val="22"/>
      <w:lang w:val="en-US"/>
    </w:rPr>
  </w:style>
  <w:style w:type="character" w:customStyle="1" w:styleId="30">
    <w:name w:val="Знак Знак3"/>
    <w:rsid w:val="000E75B2"/>
    <w:rPr>
      <w:rFonts w:ascii="Tahoma" w:hAnsi="Tahoma" w:cs="Tahoma"/>
      <w:sz w:val="16"/>
      <w:szCs w:val="16"/>
      <w:lang w:val="en-US"/>
    </w:rPr>
  </w:style>
  <w:style w:type="character" w:customStyle="1" w:styleId="2">
    <w:name w:val="Знак примечания2"/>
    <w:rsid w:val="000E75B2"/>
    <w:rPr>
      <w:sz w:val="16"/>
      <w:szCs w:val="16"/>
    </w:rPr>
  </w:style>
  <w:style w:type="character" w:customStyle="1" w:styleId="20">
    <w:name w:val="Знак Знак2"/>
    <w:rsid w:val="000E75B2"/>
    <w:rPr>
      <w:lang w:val="en-US"/>
    </w:rPr>
  </w:style>
  <w:style w:type="character" w:customStyle="1" w:styleId="1">
    <w:name w:val="Знак Знак1"/>
    <w:rsid w:val="000E75B2"/>
    <w:rPr>
      <w:b/>
      <w:bCs/>
      <w:lang w:val="en-US"/>
    </w:rPr>
  </w:style>
  <w:style w:type="character" w:customStyle="1" w:styleId="10">
    <w:name w:val="Основной шрифт абзаца1"/>
    <w:rsid w:val="000E75B2"/>
  </w:style>
  <w:style w:type="character" w:customStyle="1" w:styleId="21">
    <w:name w:val="Основной шрифт абзаца2"/>
    <w:rsid w:val="000E75B2"/>
  </w:style>
  <w:style w:type="character" w:customStyle="1" w:styleId="FooterChar">
    <w:name w:val="Footer Char"/>
    <w:rsid w:val="000E75B2"/>
    <w:rPr>
      <w:rFonts w:ascii="Times New Roman" w:eastAsia="Times New Roman" w:hAnsi="Times New Roman" w:cs="Times New Roman"/>
      <w:sz w:val="24"/>
      <w:szCs w:val="24"/>
      <w:lang w:val="ru-RU"/>
    </w:rPr>
  </w:style>
  <w:style w:type="character" w:customStyle="1" w:styleId="11">
    <w:name w:val="Знак примечания1"/>
    <w:rsid w:val="000E75B2"/>
    <w:rPr>
      <w:sz w:val="16"/>
      <w:szCs w:val="16"/>
    </w:rPr>
  </w:style>
  <w:style w:type="character" w:customStyle="1" w:styleId="CommentTextChar">
    <w:name w:val="Comment Text Char"/>
    <w:rsid w:val="000E75B2"/>
    <w:rPr>
      <w:rFonts w:ascii="Times New Roman" w:eastAsia="Times New Roman" w:hAnsi="Times New Roman" w:cs="Times New Roman"/>
      <w:sz w:val="20"/>
      <w:szCs w:val="20"/>
      <w:lang w:val="ru-RU"/>
    </w:rPr>
  </w:style>
  <w:style w:type="character" w:customStyle="1" w:styleId="CommentSubjectChar">
    <w:name w:val="Comment Subject Char"/>
    <w:rsid w:val="000E75B2"/>
    <w:rPr>
      <w:rFonts w:ascii="Times New Roman" w:eastAsia="Times New Roman" w:hAnsi="Times New Roman" w:cs="Times New Roman"/>
      <w:b/>
      <w:bCs/>
      <w:sz w:val="20"/>
      <w:szCs w:val="20"/>
      <w:lang w:val="ru-RU"/>
    </w:rPr>
  </w:style>
  <w:style w:type="character" w:customStyle="1" w:styleId="BalloonTextChar">
    <w:name w:val="Balloon Text Char"/>
    <w:rsid w:val="000E75B2"/>
    <w:rPr>
      <w:rFonts w:ascii="Tahoma" w:eastAsia="Times New Roman" w:hAnsi="Tahoma" w:cs="Tahoma"/>
      <w:sz w:val="16"/>
      <w:szCs w:val="16"/>
      <w:lang w:val="ru-RU"/>
    </w:rPr>
  </w:style>
  <w:style w:type="character" w:customStyle="1" w:styleId="HeaderChar">
    <w:name w:val="Header Char"/>
    <w:rsid w:val="000E75B2"/>
    <w:rPr>
      <w:rFonts w:ascii="Times New Roman" w:eastAsia="Times New Roman" w:hAnsi="Times New Roman" w:cs="Times New Roman"/>
      <w:sz w:val="24"/>
      <w:szCs w:val="24"/>
      <w:lang w:val="ru-RU"/>
    </w:rPr>
  </w:style>
  <w:style w:type="character" w:customStyle="1" w:styleId="FootnoteTextChar">
    <w:name w:val="Footnote Text Char"/>
    <w:rsid w:val="000E75B2"/>
    <w:rPr>
      <w:rFonts w:ascii="Times New Roman" w:eastAsia="Times New Roman" w:hAnsi="Times New Roman" w:cs="Times New Roman"/>
      <w:lang w:val="ru-RU"/>
    </w:rPr>
  </w:style>
  <w:style w:type="character" w:customStyle="1" w:styleId="12">
    <w:name w:val="Знак сноски1"/>
    <w:rsid w:val="000E75B2"/>
    <w:rPr>
      <w:vertAlign w:val="superscript"/>
    </w:rPr>
  </w:style>
  <w:style w:type="character" w:styleId="Hyperlink">
    <w:name w:val="Hyperlink"/>
    <w:rsid w:val="000E75B2"/>
    <w:rPr>
      <w:color w:val="0000FF"/>
      <w:u w:val="single"/>
      <w:lang w:val="en-US" w:bidi="en-US"/>
    </w:rPr>
  </w:style>
  <w:style w:type="character" w:customStyle="1" w:styleId="ListLabel1">
    <w:name w:val="ListLabel 1"/>
    <w:rsid w:val="000E75B2"/>
    <w:rPr>
      <w:rFonts w:eastAsia="Times New Roman" w:cs="Times New Roman"/>
    </w:rPr>
  </w:style>
  <w:style w:type="character" w:customStyle="1" w:styleId="ListLabel2">
    <w:name w:val="ListLabel 2"/>
    <w:rsid w:val="000E75B2"/>
    <w:rPr>
      <w:rFonts w:cs="Courier New"/>
    </w:rPr>
  </w:style>
  <w:style w:type="character" w:customStyle="1" w:styleId="a">
    <w:name w:val="Знак Знак"/>
    <w:rsid w:val="000E75B2"/>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0E75B2"/>
  </w:style>
  <w:style w:type="character" w:customStyle="1" w:styleId="selectable">
    <w:name w:val="selectable"/>
    <w:rsid w:val="000E75B2"/>
  </w:style>
  <w:style w:type="character" w:styleId="Strong">
    <w:name w:val="Strong"/>
    <w:qFormat/>
    <w:rsid w:val="000E75B2"/>
    <w:rPr>
      <w:b/>
      <w:bCs/>
    </w:rPr>
  </w:style>
  <w:style w:type="paragraph" w:customStyle="1" w:styleId="13">
    <w:name w:val="Заголовок1"/>
    <w:basedOn w:val="Normal"/>
    <w:next w:val="BodyText"/>
    <w:rsid w:val="000E75B2"/>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0E75B2"/>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0E75B2"/>
    <w:rPr>
      <w:rFonts w:cs="Lohit Hindi"/>
    </w:rPr>
  </w:style>
  <w:style w:type="paragraph" w:styleId="Caption">
    <w:name w:val="caption"/>
    <w:basedOn w:val="Normal"/>
    <w:qFormat/>
    <w:rsid w:val="000E75B2"/>
    <w:pPr>
      <w:suppressLineNumbers/>
      <w:spacing w:before="120" w:after="120"/>
    </w:pPr>
    <w:rPr>
      <w:rFonts w:cs="Arial"/>
      <w:i/>
      <w:iCs/>
      <w:sz w:val="24"/>
      <w:szCs w:val="24"/>
    </w:rPr>
  </w:style>
  <w:style w:type="paragraph" w:customStyle="1" w:styleId="a0">
    <w:name w:val="Покажчик"/>
    <w:basedOn w:val="Normal"/>
    <w:rsid w:val="000E75B2"/>
    <w:pPr>
      <w:suppressLineNumbers/>
    </w:pPr>
    <w:rPr>
      <w:rFonts w:cs="Arial"/>
    </w:rPr>
  </w:style>
  <w:style w:type="paragraph" w:styleId="Header">
    <w:name w:val="header"/>
    <w:basedOn w:val="Normal"/>
    <w:link w:val="HeaderChar1"/>
    <w:uiPriority w:val="99"/>
    <w:rsid w:val="000E75B2"/>
    <w:pPr>
      <w:spacing w:after="0" w:line="240" w:lineRule="auto"/>
    </w:pPr>
  </w:style>
  <w:style w:type="paragraph" w:styleId="Footer">
    <w:name w:val="footer"/>
    <w:basedOn w:val="Normal"/>
    <w:rsid w:val="000E75B2"/>
    <w:pPr>
      <w:spacing w:after="0" w:line="240" w:lineRule="auto"/>
    </w:pPr>
  </w:style>
  <w:style w:type="paragraph" w:styleId="BalloonText">
    <w:name w:val="Balloon Text"/>
    <w:basedOn w:val="Normal"/>
    <w:rsid w:val="000E75B2"/>
    <w:pPr>
      <w:spacing w:after="0" w:line="240" w:lineRule="auto"/>
    </w:pPr>
    <w:rPr>
      <w:rFonts w:ascii="Tahoma" w:hAnsi="Tahoma" w:cs="Tahoma"/>
      <w:sz w:val="16"/>
      <w:szCs w:val="16"/>
    </w:rPr>
  </w:style>
  <w:style w:type="paragraph" w:customStyle="1" w:styleId="22">
    <w:name w:val="Текст примечания2"/>
    <w:basedOn w:val="Normal"/>
    <w:rsid w:val="000E75B2"/>
    <w:rPr>
      <w:sz w:val="20"/>
      <w:szCs w:val="20"/>
    </w:rPr>
  </w:style>
  <w:style w:type="paragraph" w:styleId="CommentSubject">
    <w:name w:val="annotation subject"/>
    <w:basedOn w:val="22"/>
    <w:next w:val="22"/>
    <w:rsid w:val="000E75B2"/>
    <w:rPr>
      <w:b/>
      <w:bCs/>
    </w:rPr>
  </w:style>
  <w:style w:type="paragraph" w:customStyle="1" w:styleId="14">
    <w:name w:val="Название1"/>
    <w:basedOn w:val="Normal"/>
    <w:rsid w:val="000E75B2"/>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0E75B2"/>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0E75B2"/>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0E75B2"/>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0E75B2"/>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0E75B2"/>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0E75B2"/>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0E75B2"/>
    <w:rPr>
      <w:b/>
      <w:bCs/>
    </w:rPr>
  </w:style>
  <w:style w:type="paragraph" w:customStyle="1" w:styleId="1a">
    <w:name w:val="Текст выноски1"/>
    <w:basedOn w:val="Normal"/>
    <w:rsid w:val="000E75B2"/>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0E75B2"/>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0E75B2"/>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rsid w:val="000E75B2"/>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
    <w:name w:val="Unresolved Mention"/>
    <w:basedOn w:val="DefaultParagraphFont"/>
    <w:uiPriority w:val="99"/>
    <w:semiHidden/>
    <w:unhideWhenUsed/>
    <w:rsid w:val="00087B6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439567068">
      <w:bodyDiv w:val="1"/>
      <w:marLeft w:val="0"/>
      <w:marRight w:val="0"/>
      <w:marTop w:val="0"/>
      <w:marBottom w:val="0"/>
      <w:divBdr>
        <w:top w:val="none" w:sz="0" w:space="0" w:color="auto"/>
        <w:left w:val="none" w:sz="0" w:space="0" w:color="auto"/>
        <w:bottom w:val="none" w:sz="0" w:space="0" w:color="auto"/>
        <w:right w:val="none" w:sz="0" w:space="0" w:color="auto"/>
      </w:divBdr>
      <w:divsChild>
        <w:div w:id="919171643">
          <w:marLeft w:val="0"/>
          <w:marRight w:val="0"/>
          <w:marTop w:val="0"/>
          <w:marBottom w:val="0"/>
          <w:divBdr>
            <w:top w:val="none" w:sz="0" w:space="0" w:color="auto"/>
            <w:left w:val="none" w:sz="0" w:space="0" w:color="auto"/>
            <w:bottom w:val="none" w:sz="0" w:space="0" w:color="auto"/>
            <w:right w:val="none" w:sz="0" w:space="0" w:color="auto"/>
          </w:divBdr>
        </w:div>
        <w:div w:id="1973747910">
          <w:marLeft w:val="0"/>
          <w:marRight w:val="0"/>
          <w:marTop w:val="0"/>
          <w:marBottom w:val="0"/>
          <w:divBdr>
            <w:top w:val="none" w:sz="0" w:space="0" w:color="auto"/>
            <w:left w:val="none" w:sz="0" w:space="0" w:color="auto"/>
            <w:bottom w:val="none" w:sz="0" w:space="0" w:color="auto"/>
            <w:right w:val="none" w:sz="0" w:space="0" w:color="auto"/>
          </w:divBdr>
        </w:div>
        <w:div w:id="742026542">
          <w:marLeft w:val="0"/>
          <w:marRight w:val="0"/>
          <w:marTop w:val="0"/>
          <w:marBottom w:val="0"/>
          <w:divBdr>
            <w:top w:val="none" w:sz="0" w:space="0" w:color="auto"/>
            <w:left w:val="none" w:sz="0" w:space="0" w:color="auto"/>
            <w:bottom w:val="none" w:sz="0" w:space="0" w:color="auto"/>
            <w:right w:val="none" w:sz="0" w:space="0" w:color="auto"/>
          </w:divBdr>
        </w:div>
      </w:divsChild>
    </w:div>
    <w:div w:id="1158224930">
      <w:bodyDiv w:val="1"/>
      <w:marLeft w:val="0"/>
      <w:marRight w:val="0"/>
      <w:marTop w:val="0"/>
      <w:marBottom w:val="0"/>
      <w:divBdr>
        <w:top w:val="none" w:sz="0" w:space="0" w:color="auto"/>
        <w:left w:val="none" w:sz="0" w:space="0" w:color="auto"/>
        <w:bottom w:val="none" w:sz="0" w:space="0" w:color="auto"/>
        <w:right w:val="none" w:sz="0" w:space="0" w:color="auto"/>
      </w:divBdr>
    </w:div>
    <w:div w:id="152613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715</Words>
  <Characters>4079</Characters>
  <Application>Microsoft Office Word</Application>
  <DocSecurity>0</DocSecurity>
  <Lines>33</Lines>
  <Paragraphs>9</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4785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ADM</cp:lastModifiedBy>
  <cp:revision>2</cp:revision>
  <cp:lastPrinted>1899-12-31T22:00:00Z</cp:lastPrinted>
  <dcterms:created xsi:type="dcterms:W3CDTF">2020-08-17T15:51:00Z</dcterms:created>
  <dcterms:modified xsi:type="dcterms:W3CDTF">2020-08-17T15:51:00Z</dcterms:modified>
</cp:coreProperties>
</file>