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057F" w:rsidRDefault="0096057F" w:rsidP="0096057F">
      <w:pPr>
        <w:spacing w:before="100" w:beforeAutospacing="1" w:after="100" w:afterAutospacing="1" w:line="480" w:lineRule="auto"/>
        <w:jc w:val="center"/>
        <w:rPr>
          <w:rFonts w:eastAsia="Times New Roman" w:cs="Times New Roman"/>
          <w:b/>
          <w:szCs w:val="24"/>
        </w:rPr>
      </w:pPr>
    </w:p>
    <w:p w:rsidR="0096057F" w:rsidRDefault="0096057F" w:rsidP="0096057F">
      <w:pPr>
        <w:spacing w:before="100" w:beforeAutospacing="1" w:after="100" w:afterAutospacing="1" w:line="480" w:lineRule="auto"/>
        <w:jc w:val="center"/>
        <w:rPr>
          <w:rFonts w:eastAsia="Times New Roman" w:cs="Times New Roman"/>
          <w:b/>
          <w:szCs w:val="24"/>
        </w:rPr>
      </w:pPr>
    </w:p>
    <w:p w:rsidR="0096057F" w:rsidRDefault="0096057F" w:rsidP="0096057F">
      <w:pPr>
        <w:spacing w:before="100" w:beforeAutospacing="1" w:after="100" w:afterAutospacing="1" w:line="480" w:lineRule="auto"/>
        <w:jc w:val="center"/>
        <w:rPr>
          <w:rFonts w:eastAsia="Times New Roman" w:cs="Times New Roman"/>
          <w:b/>
          <w:szCs w:val="24"/>
        </w:rPr>
      </w:pPr>
    </w:p>
    <w:p w:rsidR="0096057F" w:rsidRDefault="0096057F" w:rsidP="0096057F">
      <w:pPr>
        <w:spacing w:before="100" w:beforeAutospacing="1" w:after="100" w:afterAutospacing="1" w:line="480" w:lineRule="auto"/>
        <w:jc w:val="center"/>
        <w:rPr>
          <w:rFonts w:eastAsia="Times New Roman" w:cs="Times New Roman"/>
          <w:b/>
          <w:szCs w:val="24"/>
        </w:rPr>
      </w:pPr>
    </w:p>
    <w:p w:rsidR="0096057F" w:rsidRPr="0096057F" w:rsidRDefault="0096057F" w:rsidP="0096057F">
      <w:pPr>
        <w:spacing w:before="100" w:beforeAutospacing="1" w:after="100" w:afterAutospacing="1" w:line="480" w:lineRule="auto"/>
        <w:jc w:val="center"/>
        <w:rPr>
          <w:rFonts w:eastAsia="Times New Roman" w:cs="Times New Roman"/>
          <w:szCs w:val="24"/>
        </w:rPr>
      </w:pPr>
      <w:r w:rsidRPr="0096057F">
        <w:rPr>
          <w:rFonts w:eastAsia="Times New Roman" w:cs="Times New Roman"/>
          <w:szCs w:val="24"/>
        </w:rPr>
        <w:t>Macy Inc. FRICTO Analysis</w:t>
      </w:r>
    </w:p>
    <w:p w:rsidR="006D7625" w:rsidRPr="0096057F" w:rsidRDefault="0096057F" w:rsidP="0096057F">
      <w:pPr>
        <w:spacing w:before="100" w:beforeAutospacing="1" w:after="100" w:afterAutospacing="1" w:line="480" w:lineRule="auto"/>
        <w:jc w:val="center"/>
        <w:rPr>
          <w:rFonts w:eastAsia="Times New Roman" w:cs="Times New Roman"/>
          <w:szCs w:val="24"/>
        </w:rPr>
      </w:pPr>
      <w:r w:rsidRPr="0096057F">
        <w:rPr>
          <w:rFonts w:eastAsia="Times New Roman" w:cs="Times New Roman"/>
          <w:szCs w:val="24"/>
        </w:rPr>
        <w:t>Name</w:t>
      </w:r>
    </w:p>
    <w:p w:rsidR="0096057F" w:rsidRPr="0096057F" w:rsidRDefault="0096057F" w:rsidP="0096057F">
      <w:pPr>
        <w:spacing w:before="100" w:beforeAutospacing="1" w:after="100" w:afterAutospacing="1" w:line="480" w:lineRule="auto"/>
        <w:jc w:val="center"/>
        <w:rPr>
          <w:rFonts w:eastAsia="Times New Roman" w:cs="Times New Roman"/>
          <w:szCs w:val="24"/>
        </w:rPr>
      </w:pPr>
      <w:r w:rsidRPr="0096057F">
        <w:rPr>
          <w:rFonts w:eastAsia="Times New Roman" w:cs="Times New Roman"/>
          <w:szCs w:val="24"/>
        </w:rPr>
        <w:t>Institution of Affiliation</w:t>
      </w:r>
    </w:p>
    <w:p w:rsidR="006D7625" w:rsidRDefault="006D7625">
      <w:pPr>
        <w:rPr>
          <w:rFonts w:eastAsia="Times New Roman" w:cs="Times New Roman"/>
          <w:szCs w:val="24"/>
        </w:rPr>
      </w:pPr>
      <w:r>
        <w:rPr>
          <w:rFonts w:eastAsia="Times New Roman" w:cs="Times New Roman"/>
          <w:szCs w:val="24"/>
        </w:rPr>
        <w:br w:type="page"/>
      </w:r>
    </w:p>
    <w:p w:rsidR="007406D3" w:rsidRPr="0096057F" w:rsidRDefault="00C358FD" w:rsidP="007179C3">
      <w:pPr>
        <w:spacing w:before="100" w:beforeAutospacing="1" w:after="100" w:afterAutospacing="1" w:line="480" w:lineRule="auto"/>
        <w:jc w:val="center"/>
        <w:rPr>
          <w:rFonts w:eastAsia="Times New Roman" w:cs="Times New Roman"/>
          <w:b/>
          <w:szCs w:val="24"/>
        </w:rPr>
      </w:pPr>
      <w:r w:rsidRPr="0096057F">
        <w:rPr>
          <w:rFonts w:eastAsia="Times New Roman" w:cs="Times New Roman"/>
          <w:b/>
          <w:szCs w:val="24"/>
        </w:rPr>
        <w:lastRenderedPageBreak/>
        <w:t xml:space="preserve">Macy </w:t>
      </w:r>
      <w:r w:rsidR="007179C3" w:rsidRPr="0096057F">
        <w:rPr>
          <w:rFonts w:eastAsia="Times New Roman" w:cs="Times New Roman"/>
          <w:b/>
          <w:szCs w:val="24"/>
        </w:rPr>
        <w:t>Inc.</w:t>
      </w:r>
      <w:r w:rsidRPr="0096057F">
        <w:rPr>
          <w:rFonts w:eastAsia="Times New Roman" w:cs="Times New Roman"/>
          <w:b/>
          <w:szCs w:val="24"/>
        </w:rPr>
        <w:t xml:space="preserve"> </w:t>
      </w:r>
      <w:r w:rsidR="007179C3" w:rsidRPr="0096057F">
        <w:rPr>
          <w:rFonts w:eastAsia="Times New Roman" w:cs="Times New Roman"/>
          <w:b/>
          <w:szCs w:val="24"/>
        </w:rPr>
        <w:t>FRICTO Analysis</w:t>
      </w:r>
    </w:p>
    <w:p w:rsidR="007406D3" w:rsidRPr="007406D3" w:rsidRDefault="006D7625" w:rsidP="006D7625">
      <w:pPr>
        <w:numPr>
          <w:ilvl w:val="0"/>
          <w:numId w:val="1"/>
        </w:numPr>
        <w:spacing w:before="100" w:beforeAutospacing="1" w:after="100" w:afterAutospacing="1" w:line="480" w:lineRule="auto"/>
        <w:rPr>
          <w:rFonts w:eastAsia="Times New Roman" w:cs="Times New Roman"/>
          <w:szCs w:val="24"/>
        </w:rPr>
      </w:pPr>
      <w:r w:rsidRPr="007406D3">
        <w:rPr>
          <w:rFonts w:eastAsia="Times New Roman" w:cs="Times New Roman"/>
          <w:szCs w:val="24"/>
        </w:rPr>
        <w:t>Flexibility-</w:t>
      </w:r>
      <w:r w:rsidR="00A10EF7">
        <w:rPr>
          <w:rFonts w:eastAsia="Times New Roman" w:cs="Times New Roman"/>
          <w:szCs w:val="24"/>
        </w:rPr>
        <w:t xml:space="preserve"> Macy’s management have maintained a low debt. This is good as it makes it easier to access finance when an investment opportunity appears.</w:t>
      </w:r>
      <w:r w:rsidR="007406D3" w:rsidRPr="007406D3">
        <w:rPr>
          <w:rFonts w:eastAsia="Times New Roman" w:cs="Times New Roman"/>
          <w:szCs w:val="24"/>
        </w:rPr>
        <w:t xml:space="preserve"> </w:t>
      </w:r>
      <w:r w:rsidR="00A10EF7" w:rsidRPr="007406D3">
        <w:rPr>
          <w:rFonts w:eastAsia="Times New Roman" w:cs="Times New Roman"/>
          <w:szCs w:val="24"/>
        </w:rPr>
        <w:t>The</w:t>
      </w:r>
      <w:r w:rsidR="007406D3" w:rsidRPr="007406D3">
        <w:rPr>
          <w:rFonts w:eastAsia="Times New Roman" w:cs="Times New Roman"/>
          <w:szCs w:val="24"/>
        </w:rPr>
        <w:t xml:space="preserve"> impact of alternative financing choices on the company’s ability to raise funds in the future. A company that has flexibility will always have access to financial markets and can also take the financing type of its liking.</w:t>
      </w:r>
    </w:p>
    <w:p w:rsidR="007406D3" w:rsidRPr="007406D3" w:rsidRDefault="006D7625" w:rsidP="006D7625">
      <w:pPr>
        <w:numPr>
          <w:ilvl w:val="0"/>
          <w:numId w:val="1"/>
        </w:numPr>
        <w:spacing w:before="100" w:beforeAutospacing="1" w:after="100" w:afterAutospacing="1" w:line="480" w:lineRule="auto"/>
        <w:rPr>
          <w:rFonts w:eastAsia="Times New Roman" w:cs="Times New Roman"/>
          <w:szCs w:val="24"/>
        </w:rPr>
      </w:pPr>
      <w:r w:rsidRPr="007406D3">
        <w:rPr>
          <w:rFonts w:eastAsia="Times New Roman" w:cs="Times New Roman"/>
          <w:szCs w:val="24"/>
        </w:rPr>
        <w:t>Risk-</w:t>
      </w:r>
      <w:r w:rsidR="007406D3" w:rsidRPr="007406D3">
        <w:rPr>
          <w:rFonts w:eastAsia="Times New Roman" w:cs="Times New Roman"/>
          <w:szCs w:val="24"/>
        </w:rPr>
        <w:t xml:space="preserve"> </w:t>
      </w:r>
      <w:r w:rsidR="0014393F">
        <w:rPr>
          <w:rFonts w:eastAsia="Times New Roman" w:cs="Times New Roman"/>
          <w:szCs w:val="24"/>
        </w:rPr>
        <w:t xml:space="preserve">The risk exposure of Macy </w:t>
      </w:r>
      <w:r w:rsidR="00093BE5">
        <w:rPr>
          <w:rFonts w:eastAsia="Times New Roman" w:cs="Times New Roman"/>
          <w:szCs w:val="24"/>
        </w:rPr>
        <w:t>Inc.</w:t>
      </w:r>
      <w:r w:rsidR="0014393F">
        <w:rPr>
          <w:rFonts w:eastAsia="Times New Roman" w:cs="Times New Roman"/>
          <w:szCs w:val="24"/>
        </w:rPr>
        <w:t xml:space="preserve"> is not high because of the low debt.</w:t>
      </w:r>
      <w:r w:rsidR="007406D3" w:rsidRPr="007406D3">
        <w:rPr>
          <w:rFonts w:eastAsia="Times New Roman" w:cs="Times New Roman"/>
          <w:szCs w:val="24"/>
        </w:rPr>
        <w:t xml:space="preserve"> As a rule-of-thumb, taking on more </w:t>
      </w:r>
      <w:hyperlink r:id="rId7" w:history="1">
        <w:r w:rsidR="007406D3" w:rsidRPr="006D7625">
          <w:rPr>
            <w:rFonts w:eastAsia="Times New Roman" w:cs="Times New Roman"/>
            <w:szCs w:val="24"/>
          </w:rPr>
          <w:t>debt</w:t>
        </w:r>
      </w:hyperlink>
      <w:r w:rsidR="007406D3" w:rsidRPr="007406D3">
        <w:rPr>
          <w:rFonts w:eastAsia="Times New Roman" w:cs="Times New Roman"/>
          <w:szCs w:val="24"/>
        </w:rPr>
        <w:t xml:space="preserve"> increases the risks of both creditors and shareholders.</w:t>
      </w:r>
      <w:r w:rsidR="00FF06D9">
        <w:rPr>
          <w:rFonts w:eastAsia="Times New Roman" w:cs="Times New Roman"/>
          <w:szCs w:val="24"/>
        </w:rPr>
        <w:t xml:space="preserve"> </w:t>
      </w:r>
      <w:r w:rsidR="000803D6">
        <w:rPr>
          <w:rFonts w:eastAsia="Times New Roman" w:cs="Times New Roman"/>
          <w:szCs w:val="24"/>
        </w:rPr>
        <w:t>When</w:t>
      </w:r>
      <w:r w:rsidR="00FF06D9">
        <w:rPr>
          <w:rFonts w:eastAsia="Times New Roman" w:cs="Times New Roman"/>
          <w:szCs w:val="24"/>
        </w:rPr>
        <w:t xml:space="preserve"> taking debt, the wishes of the shareholders should be factored.</w:t>
      </w:r>
    </w:p>
    <w:p w:rsidR="007406D3" w:rsidRPr="007406D3" w:rsidRDefault="006D7625" w:rsidP="006D7625">
      <w:pPr>
        <w:numPr>
          <w:ilvl w:val="0"/>
          <w:numId w:val="1"/>
        </w:numPr>
        <w:spacing w:before="100" w:beforeAutospacing="1" w:after="100" w:afterAutospacing="1" w:line="480" w:lineRule="auto"/>
        <w:rPr>
          <w:rFonts w:eastAsia="Times New Roman" w:cs="Times New Roman"/>
          <w:szCs w:val="24"/>
        </w:rPr>
      </w:pPr>
      <w:r w:rsidRPr="007406D3">
        <w:rPr>
          <w:rFonts w:eastAsia="Times New Roman" w:cs="Times New Roman"/>
          <w:szCs w:val="24"/>
        </w:rPr>
        <w:t>Income-</w:t>
      </w:r>
      <w:r w:rsidR="007406D3" w:rsidRPr="007406D3">
        <w:rPr>
          <w:rFonts w:eastAsia="Times New Roman" w:cs="Times New Roman"/>
          <w:szCs w:val="24"/>
        </w:rPr>
        <w:t xml:space="preserve"> </w:t>
      </w:r>
      <w:r w:rsidR="00093BE5">
        <w:rPr>
          <w:rFonts w:eastAsia="Times New Roman" w:cs="Times New Roman"/>
          <w:szCs w:val="24"/>
        </w:rPr>
        <w:t>Macy Inc. should increase streams of income and boost the existing to raise its share value</w:t>
      </w:r>
      <w:r w:rsidR="007406D3" w:rsidRPr="007406D3">
        <w:rPr>
          <w:rFonts w:eastAsia="Times New Roman" w:cs="Times New Roman"/>
          <w:szCs w:val="24"/>
        </w:rPr>
        <w:t xml:space="preserve">. A company whose </w:t>
      </w:r>
      <w:hyperlink r:id="rId8" w:history="1">
        <w:r w:rsidR="007406D3" w:rsidRPr="006D7625">
          <w:rPr>
            <w:rFonts w:eastAsia="Times New Roman" w:cs="Times New Roman"/>
            <w:szCs w:val="24"/>
          </w:rPr>
          <w:t>EBIT</w:t>
        </w:r>
      </w:hyperlink>
      <w:r w:rsidR="007406D3" w:rsidRPr="007406D3">
        <w:rPr>
          <w:rFonts w:eastAsia="Times New Roman" w:cs="Times New Roman"/>
          <w:szCs w:val="24"/>
        </w:rPr>
        <w:t xml:space="preserve"> is above its financing indifference point will be able to increase its </w:t>
      </w:r>
      <w:hyperlink r:id="rId9" w:history="1">
        <w:r w:rsidR="007406D3" w:rsidRPr="006D7625">
          <w:rPr>
            <w:rFonts w:eastAsia="Times New Roman" w:cs="Times New Roman"/>
            <w:szCs w:val="24"/>
          </w:rPr>
          <w:t>earnings per share</w:t>
        </w:r>
      </w:hyperlink>
      <w:r w:rsidR="007406D3" w:rsidRPr="007406D3">
        <w:rPr>
          <w:rFonts w:eastAsia="Times New Roman" w:cs="Times New Roman"/>
          <w:szCs w:val="24"/>
        </w:rPr>
        <w:t xml:space="preserve"> (</w:t>
      </w:r>
      <w:hyperlink r:id="rId10" w:history="1">
        <w:r w:rsidR="007406D3" w:rsidRPr="006D7625">
          <w:rPr>
            <w:rFonts w:eastAsia="Times New Roman" w:cs="Times New Roman"/>
            <w:szCs w:val="24"/>
          </w:rPr>
          <w:t>EPS</w:t>
        </w:r>
      </w:hyperlink>
      <w:r w:rsidR="007406D3" w:rsidRPr="007406D3">
        <w:rPr>
          <w:rFonts w:eastAsia="Times New Roman" w:cs="Times New Roman"/>
          <w:szCs w:val="24"/>
        </w:rPr>
        <w:t>) by taking on additional debt.</w:t>
      </w:r>
    </w:p>
    <w:p w:rsidR="007406D3" w:rsidRPr="007406D3" w:rsidRDefault="006D7625" w:rsidP="006D7625">
      <w:pPr>
        <w:numPr>
          <w:ilvl w:val="0"/>
          <w:numId w:val="1"/>
        </w:numPr>
        <w:spacing w:before="100" w:beforeAutospacing="1" w:after="100" w:afterAutospacing="1" w:line="480" w:lineRule="auto"/>
        <w:rPr>
          <w:rFonts w:eastAsia="Times New Roman" w:cs="Times New Roman"/>
          <w:szCs w:val="24"/>
        </w:rPr>
      </w:pPr>
      <w:r w:rsidRPr="007406D3">
        <w:rPr>
          <w:rFonts w:eastAsia="Times New Roman" w:cs="Times New Roman"/>
          <w:szCs w:val="24"/>
        </w:rPr>
        <w:t>Control-</w:t>
      </w:r>
      <w:r w:rsidR="00B4217E">
        <w:rPr>
          <w:rFonts w:eastAsia="Times New Roman" w:cs="Times New Roman"/>
          <w:szCs w:val="24"/>
        </w:rPr>
        <w:t xml:space="preserve"> T</w:t>
      </w:r>
      <w:r w:rsidR="007406D3" w:rsidRPr="007406D3">
        <w:rPr>
          <w:rFonts w:eastAsia="Times New Roman" w:cs="Times New Roman"/>
          <w:szCs w:val="24"/>
        </w:rPr>
        <w:t>he impact of alternative financing choices on the amount of control over the company held by each shareholder. In general, issuing additional</w:t>
      </w:r>
      <w:hyperlink r:id="rId11" w:history="1">
        <w:r w:rsidR="007406D3" w:rsidRPr="006D7625">
          <w:rPr>
            <w:rFonts w:eastAsia="Times New Roman" w:cs="Times New Roman"/>
            <w:szCs w:val="24"/>
          </w:rPr>
          <w:t xml:space="preserve"> common shares</w:t>
        </w:r>
      </w:hyperlink>
      <w:r w:rsidR="007406D3" w:rsidRPr="007406D3">
        <w:rPr>
          <w:rFonts w:eastAsia="Times New Roman" w:cs="Times New Roman"/>
          <w:szCs w:val="24"/>
        </w:rPr>
        <w:t xml:space="preserve"> will dilute this control.</w:t>
      </w:r>
      <w:r w:rsidR="00B4217E">
        <w:rPr>
          <w:rFonts w:eastAsia="Times New Roman" w:cs="Times New Roman"/>
          <w:szCs w:val="24"/>
        </w:rPr>
        <w:t xml:space="preserve"> </w:t>
      </w:r>
    </w:p>
    <w:p w:rsidR="007406D3" w:rsidRPr="007406D3" w:rsidRDefault="006D7625" w:rsidP="006D7625">
      <w:pPr>
        <w:numPr>
          <w:ilvl w:val="0"/>
          <w:numId w:val="1"/>
        </w:numPr>
        <w:spacing w:before="100" w:beforeAutospacing="1" w:after="100" w:afterAutospacing="1" w:line="480" w:lineRule="auto"/>
        <w:rPr>
          <w:rFonts w:eastAsia="Times New Roman" w:cs="Times New Roman"/>
          <w:szCs w:val="24"/>
        </w:rPr>
      </w:pPr>
      <w:r w:rsidRPr="007406D3">
        <w:rPr>
          <w:rFonts w:eastAsia="Times New Roman" w:cs="Times New Roman"/>
          <w:szCs w:val="24"/>
        </w:rPr>
        <w:t>Timing-</w:t>
      </w:r>
      <w:r w:rsidR="00356588">
        <w:rPr>
          <w:rFonts w:eastAsia="Times New Roman" w:cs="Times New Roman"/>
          <w:szCs w:val="24"/>
        </w:rPr>
        <w:t xml:space="preserve"> In the current scenario debt financing is advisable as its rate do not exceed the crossover </w:t>
      </w:r>
      <w:r w:rsidR="00627A6D">
        <w:rPr>
          <w:rFonts w:eastAsia="Times New Roman" w:cs="Times New Roman"/>
          <w:szCs w:val="24"/>
        </w:rPr>
        <w:t xml:space="preserve">point. </w:t>
      </w:r>
      <w:r w:rsidR="00627A6D" w:rsidRPr="007406D3">
        <w:rPr>
          <w:rFonts w:eastAsia="Times New Roman" w:cs="Times New Roman"/>
          <w:szCs w:val="24"/>
        </w:rPr>
        <w:t>The</w:t>
      </w:r>
      <w:r w:rsidR="007406D3" w:rsidRPr="007406D3">
        <w:rPr>
          <w:rFonts w:eastAsia="Times New Roman" w:cs="Times New Roman"/>
          <w:szCs w:val="24"/>
        </w:rPr>
        <w:t xml:space="preserve"> impact of market conditions on alternative financing choices. From time to time, financial markets shift from one preferred type of financing to another, thereby affecting companies’ debt-equity mix choices.</w:t>
      </w:r>
    </w:p>
    <w:p w:rsidR="006D7625" w:rsidRDefault="006D7625" w:rsidP="00784E76">
      <w:pPr>
        <w:numPr>
          <w:ilvl w:val="0"/>
          <w:numId w:val="1"/>
        </w:numPr>
        <w:spacing w:before="100" w:beforeAutospacing="1" w:after="100" w:afterAutospacing="1" w:line="480" w:lineRule="auto"/>
        <w:rPr>
          <w:rFonts w:cs="Times New Roman"/>
        </w:rPr>
      </w:pPr>
      <w:r w:rsidRPr="00627A6D">
        <w:rPr>
          <w:rFonts w:eastAsia="Times New Roman" w:cs="Times New Roman"/>
          <w:szCs w:val="24"/>
        </w:rPr>
        <w:t>Other</w:t>
      </w:r>
      <w:r w:rsidR="007406D3" w:rsidRPr="007406D3">
        <w:rPr>
          <w:rFonts w:eastAsia="Times New Roman" w:cs="Times New Roman"/>
          <w:szCs w:val="24"/>
        </w:rPr>
        <w:t xml:space="preserve">- </w:t>
      </w:r>
      <w:r w:rsidR="00167362" w:rsidRPr="00627A6D">
        <w:rPr>
          <w:rFonts w:eastAsia="Times New Roman" w:cs="Times New Roman"/>
          <w:szCs w:val="24"/>
        </w:rPr>
        <w:t>Others factors that Macy’s management should consider include the tax, which is beyond their control. The preferences of the shareholders should also be accommodated while making the financing. The projected profitability of the company and also the viability of the project to be started</w:t>
      </w:r>
    </w:p>
    <w:p w:rsidR="006D7625" w:rsidRPr="00060FA4" w:rsidRDefault="00886510" w:rsidP="00C25E1B">
      <w:pPr>
        <w:spacing w:line="480" w:lineRule="auto"/>
        <w:rPr>
          <w:rFonts w:cs="Times New Roman"/>
          <w:sz w:val="28"/>
          <w:szCs w:val="28"/>
        </w:rPr>
      </w:pPr>
      <w:r>
        <w:rPr>
          <w:rFonts w:cs="Times New Roman"/>
          <w:sz w:val="28"/>
          <w:szCs w:val="28"/>
        </w:rPr>
        <w:lastRenderedPageBreak/>
        <w:t>Cross over point calculation is as follows</w:t>
      </w:r>
    </w:p>
    <w:p w:rsidR="00387C39" w:rsidRPr="00060FA4" w:rsidRDefault="00387C39" w:rsidP="00C25E1B">
      <w:pPr>
        <w:spacing w:line="480" w:lineRule="auto"/>
        <w:rPr>
          <w:rFonts w:cs="Times New Roman"/>
          <w:sz w:val="28"/>
          <w:szCs w:val="28"/>
        </w:rPr>
      </w:pPr>
      <w:r w:rsidRPr="00060FA4">
        <w:rPr>
          <w:rFonts w:cs="Times New Roman"/>
          <w:sz w:val="28"/>
          <w:szCs w:val="28"/>
        </w:rPr>
        <w:t>Cash flows. 2016= $545, 2015= $89, 2014= $997. Cost =</w:t>
      </w:r>
      <w:r w:rsidR="0082457A" w:rsidRPr="00060FA4">
        <w:rPr>
          <w:rFonts w:cs="Times New Roman"/>
          <w:sz w:val="28"/>
          <w:szCs w:val="28"/>
        </w:rPr>
        <w:t>$</w:t>
      </w:r>
      <w:r w:rsidRPr="00060FA4">
        <w:rPr>
          <w:rFonts w:cs="Times New Roman"/>
          <w:sz w:val="28"/>
          <w:szCs w:val="28"/>
        </w:rPr>
        <w:t>960</w:t>
      </w:r>
    </w:p>
    <w:p w:rsidR="0070627D" w:rsidRPr="00DD3D99" w:rsidRDefault="0070627D" w:rsidP="00C25E1B">
      <w:pPr>
        <w:spacing w:line="480" w:lineRule="auto"/>
        <w:rPr>
          <w:rFonts w:cs="Times New Roman"/>
          <w:sz w:val="30"/>
          <w:szCs w:val="30"/>
        </w:rPr>
      </w:pPr>
      <w:r w:rsidRPr="00060FA4">
        <w:rPr>
          <w:rFonts w:cs="Times New Roman"/>
          <w:sz w:val="28"/>
          <w:szCs w:val="28"/>
        </w:rPr>
        <w:t>Crossover Formula =</w:t>
      </w:r>
      <w:r>
        <w:rPr>
          <w:rFonts w:cs="Times New Roman"/>
        </w:rPr>
        <w:t xml:space="preserve"> </w:t>
      </w:r>
      <w:r w:rsidRPr="00DD3D99">
        <w:rPr>
          <w:noProof/>
          <w:sz w:val="30"/>
          <w:szCs w:val="30"/>
        </w:rPr>
        <w:drawing>
          <wp:inline distT="0" distB="0" distL="0" distR="0" wp14:anchorId="09A14CCF" wp14:editId="0C0C634A">
            <wp:extent cx="5610225" cy="1019175"/>
            <wp:effectExtent l="0" t="0" r="9525" b="9525"/>
            <wp:docPr id="1" name="Picture 1" descr="NPV of A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PV of AB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0225" cy="1019175"/>
                    </a:xfrm>
                    <a:prstGeom prst="rect">
                      <a:avLst/>
                    </a:prstGeom>
                    <a:noFill/>
                    <a:ln>
                      <a:noFill/>
                    </a:ln>
                  </pic:spPr>
                </pic:pic>
              </a:graphicData>
            </a:graphic>
          </wp:inline>
        </w:drawing>
      </w:r>
    </w:p>
    <w:p w:rsidR="0070627D" w:rsidRPr="00DD3D99" w:rsidRDefault="0070627D" w:rsidP="00C25E1B">
      <w:pPr>
        <w:spacing w:line="480" w:lineRule="auto"/>
        <w:rPr>
          <w:rFonts w:eastAsiaTheme="minorEastAsia" w:cs="Times New Roman"/>
          <w:sz w:val="30"/>
          <w:szCs w:val="30"/>
        </w:rPr>
      </w:pPr>
      <w:r w:rsidRPr="00DD3D99">
        <w:rPr>
          <w:rFonts w:cs="Times New Roman"/>
          <w:sz w:val="30"/>
          <w:szCs w:val="30"/>
        </w:rPr>
        <w:t xml:space="preserve">= </w:t>
      </w:r>
      <m:oMath>
        <m:f>
          <m:fPr>
            <m:ctrlPr>
              <w:rPr>
                <w:rFonts w:ascii="Cambria Math" w:hAnsi="Cambria Math" w:cs="Times New Roman"/>
                <w:i/>
                <w:sz w:val="30"/>
                <w:szCs w:val="30"/>
              </w:rPr>
            </m:ctrlPr>
          </m:fPr>
          <m:num>
            <m:r>
              <w:rPr>
                <w:rFonts w:ascii="Cambria Math" w:hAnsi="Cambria Math" w:cs="Times New Roman"/>
                <w:sz w:val="30"/>
                <w:szCs w:val="30"/>
              </w:rPr>
              <m:t>545</m:t>
            </m:r>
          </m:num>
          <m:den>
            <m:r>
              <w:rPr>
                <w:rFonts w:ascii="Cambria Math" w:hAnsi="Cambria Math" w:cs="Times New Roman"/>
                <w:sz w:val="30"/>
                <w:szCs w:val="30"/>
              </w:rPr>
              <m:t>1+r</m:t>
            </m:r>
          </m:den>
        </m:f>
        <m:r>
          <w:rPr>
            <w:rFonts w:ascii="Cambria Math" w:hAnsi="Cambria Math" w:cs="Times New Roman"/>
            <w:sz w:val="30"/>
            <w:szCs w:val="30"/>
          </w:rPr>
          <m:t>+</m:t>
        </m:r>
        <m:f>
          <m:fPr>
            <m:ctrlPr>
              <w:rPr>
                <w:rFonts w:ascii="Cambria Math" w:hAnsi="Cambria Math" w:cs="Times New Roman"/>
                <w:i/>
                <w:sz w:val="30"/>
                <w:szCs w:val="30"/>
              </w:rPr>
            </m:ctrlPr>
          </m:fPr>
          <m:num>
            <m:r>
              <w:rPr>
                <w:rFonts w:ascii="Cambria Math" w:hAnsi="Cambria Math" w:cs="Times New Roman"/>
                <w:sz w:val="30"/>
                <w:szCs w:val="30"/>
              </w:rPr>
              <m:t>89</m:t>
            </m:r>
          </m:num>
          <m:den>
            <m:d>
              <m:dPr>
                <m:ctrlPr>
                  <w:rPr>
                    <w:rFonts w:ascii="Cambria Math" w:hAnsi="Cambria Math" w:cs="Times New Roman"/>
                    <w:i/>
                    <w:sz w:val="30"/>
                    <w:szCs w:val="30"/>
                  </w:rPr>
                </m:ctrlPr>
              </m:dPr>
              <m:e>
                <m:r>
                  <w:rPr>
                    <w:rFonts w:ascii="Cambria Math" w:hAnsi="Cambria Math" w:cs="Times New Roman"/>
                    <w:sz w:val="30"/>
                    <w:szCs w:val="30"/>
                  </w:rPr>
                  <m:t>1+r</m:t>
                </m:r>
              </m:e>
            </m:d>
            <m:r>
              <w:rPr>
                <w:rFonts w:ascii="Cambria Math" w:hAnsi="Cambria Math" w:cs="Times New Roman"/>
                <w:sz w:val="30"/>
                <w:szCs w:val="30"/>
              </w:rPr>
              <m:t>2</m:t>
            </m:r>
          </m:den>
        </m:f>
        <m:r>
          <w:rPr>
            <w:rFonts w:ascii="Cambria Math" w:hAnsi="Cambria Math" w:cs="Times New Roman"/>
            <w:sz w:val="30"/>
            <w:szCs w:val="30"/>
          </w:rPr>
          <m:t>+</m:t>
        </m:r>
        <m:f>
          <m:fPr>
            <m:ctrlPr>
              <w:rPr>
                <w:rFonts w:ascii="Cambria Math" w:hAnsi="Cambria Math" w:cs="Times New Roman"/>
                <w:i/>
                <w:sz w:val="30"/>
                <w:szCs w:val="30"/>
              </w:rPr>
            </m:ctrlPr>
          </m:fPr>
          <m:num>
            <m:r>
              <w:rPr>
                <w:rFonts w:ascii="Cambria Math" w:hAnsi="Cambria Math" w:cs="Times New Roman"/>
                <w:sz w:val="30"/>
                <w:szCs w:val="30"/>
              </w:rPr>
              <m:t>997</m:t>
            </m:r>
          </m:num>
          <m:den>
            <m:d>
              <m:dPr>
                <m:ctrlPr>
                  <w:rPr>
                    <w:rFonts w:ascii="Cambria Math" w:hAnsi="Cambria Math" w:cs="Times New Roman"/>
                    <w:i/>
                    <w:sz w:val="30"/>
                    <w:szCs w:val="30"/>
                  </w:rPr>
                </m:ctrlPr>
              </m:dPr>
              <m:e>
                <m:r>
                  <w:rPr>
                    <w:rFonts w:ascii="Cambria Math" w:hAnsi="Cambria Math" w:cs="Times New Roman"/>
                    <w:sz w:val="30"/>
                    <w:szCs w:val="30"/>
                  </w:rPr>
                  <m:t>1+r</m:t>
                </m:r>
              </m:e>
            </m:d>
            <m:r>
              <w:rPr>
                <w:rFonts w:ascii="Cambria Math" w:hAnsi="Cambria Math" w:cs="Times New Roman"/>
                <w:sz w:val="30"/>
                <w:szCs w:val="30"/>
              </w:rPr>
              <m:t>3</m:t>
            </m:r>
          </m:den>
        </m:f>
        <m:r>
          <w:rPr>
            <w:rFonts w:ascii="Cambria Math" w:hAnsi="Cambria Math" w:cs="Times New Roman"/>
            <w:sz w:val="30"/>
            <w:szCs w:val="30"/>
          </w:rPr>
          <m:t>-960=0</m:t>
        </m:r>
      </m:oMath>
    </w:p>
    <w:p w:rsidR="00C25E1B" w:rsidRDefault="00DD3D99" w:rsidP="00C25E1B">
      <w:pPr>
        <w:spacing w:line="480" w:lineRule="auto"/>
        <w:ind w:left="2160"/>
        <w:rPr>
          <w:rFonts w:eastAsiaTheme="minorEastAsia" w:cs="Times New Roman"/>
          <w:sz w:val="30"/>
          <w:szCs w:val="30"/>
        </w:rPr>
      </w:pPr>
      <w:r w:rsidRPr="00DD3D99">
        <w:rPr>
          <w:rFonts w:eastAsiaTheme="minorEastAsia" w:cs="Times New Roman"/>
          <w:sz w:val="30"/>
          <w:szCs w:val="30"/>
        </w:rPr>
        <w:t>Let 1+r = x</w:t>
      </w:r>
    </w:p>
    <w:p w:rsidR="00C25E1B" w:rsidRDefault="004973BB" w:rsidP="00C25E1B">
      <w:pPr>
        <w:spacing w:line="480" w:lineRule="auto"/>
        <w:ind w:left="2160"/>
        <w:rPr>
          <w:rFonts w:eastAsiaTheme="minorEastAsia" w:cs="Times New Roman"/>
          <w:sz w:val="30"/>
          <w:szCs w:val="30"/>
        </w:rPr>
      </w:pPr>
      <m:oMathPara>
        <m:oMath>
          <m:f>
            <m:fPr>
              <m:ctrlPr>
                <w:rPr>
                  <w:rFonts w:ascii="Cambria Math" w:hAnsi="Cambria Math" w:cs="Times New Roman"/>
                  <w:i/>
                  <w:sz w:val="30"/>
                  <w:szCs w:val="30"/>
                </w:rPr>
              </m:ctrlPr>
            </m:fPr>
            <m:num>
              <m:r>
                <w:rPr>
                  <w:rFonts w:ascii="Cambria Math" w:hAnsi="Cambria Math" w:cs="Times New Roman"/>
                  <w:sz w:val="30"/>
                  <w:szCs w:val="30"/>
                </w:rPr>
                <m:t>545</m:t>
              </m:r>
            </m:num>
            <m:den>
              <m:r>
                <w:rPr>
                  <w:rFonts w:ascii="Cambria Math" w:hAnsi="Cambria Math" w:cs="Times New Roman"/>
                  <w:sz w:val="30"/>
                  <w:szCs w:val="30"/>
                </w:rPr>
                <m:t>x</m:t>
              </m:r>
            </m:den>
          </m:f>
          <m:r>
            <w:rPr>
              <w:rFonts w:ascii="Cambria Math" w:hAnsi="Cambria Math" w:cs="Times New Roman"/>
              <w:sz w:val="30"/>
              <w:szCs w:val="30"/>
            </w:rPr>
            <m:t>+</m:t>
          </m:r>
          <m:f>
            <m:fPr>
              <m:ctrlPr>
                <w:rPr>
                  <w:rFonts w:ascii="Cambria Math" w:hAnsi="Cambria Math" w:cs="Times New Roman"/>
                  <w:i/>
                  <w:sz w:val="30"/>
                  <w:szCs w:val="30"/>
                </w:rPr>
              </m:ctrlPr>
            </m:fPr>
            <m:num>
              <m:r>
                <w:rPr>
                  <w:rFonts w:ascii="Cambria Math" w:hAnsi="Cambria Math" w:cs="Times New Roman"/>
                  <w:sz w:val="30"/>
                  <w:szCs w:val="30"/>
                </w:rPr>
                <m:t>89</m:t>
              </m:r>
            </m:num>
            <m:den>
              <m:r>
                <w:rPr>
                  <w:rFonts w:ascii="Cambria Math" w:hAnsi="Cambria Math" w:cs="Times New Roman"/>
                  <w:sz w:val="30"/>
                  <w:szCs w:val="30"/>
                </w:rPr>
                <m:t>x2</m:t>
              </m:r>
            </m:den>
          </m:f>
          <m:r>
            <w:rPr>
              <w:rFonts w:ascii="Cambria Math" w:hAnsi="Cambria Math" w:cs="Times New Roman"/>
              <w:sz w:val="30"/>
              <w:szCs w:val="30"/>
            </w:rPr>
            <m:t>+</m:t>
          </m:r>
          <m:f>
            <m:fPr>
              <m:ctrlPr>
                <w:rPr>
                  <w:rFonts w:ascii="Cambria Math" w:hAnsi="Cambria Math" w:cs="Times New Roman"/>
                  <w:i/>
                  <w:sz w:val="30"/>
                  <w:szCs w:val="30"/>
                </w:rPr>
              </m:ctrlPr>
            </m:fPr>
            <m:num>
              <m:r>
                <w:rPr>
                  <w:rFonts w:ascii="Cambria Math" w:hAnsi="Cambria Math" w:cs="Times New Roman"/>
                  <w:sz w:val="30"/>
                  <w:szCs w:val="30"/>
                </w:rPr>
                <m:t>997</m:t>
              </m:r>
            </m:num>
            <m:den>
              <m:r>
                <w:rPr>
                  <w:rFonts w:ascii="Cambria Math" w:hAnsi="Cambria Math" w:cs="Times New Roman"/>
                  <w:sz w:val="30"/>
                  <w:szCs w:val="30"/>
                </w:rPr>
                <m:t>x3</m:t>
              </m:r>
            </m:den>
          </m:f>
          <m:r>
            <w:rPr>
              <w:rFonts w:ascii="Cambria Math" w:hAnsi="Cambria Math" w:cs="Times New Roman"/>
              <w:sz w:val="30"/>
              <w:szCs w:val="30"/>
            </w:rPr>
            <m:t>-960=0</m:t>
          </m:r>
        </m:oMath>
      </m:oMathPara>
    </w:p>
    <w:p w:rsidR="00DD3D99" w:rsidRPr="00DD3D99" w:rsidRDefault="0038101D" w:rsidP="00C25E1B">
      <w:pPr>
        <w:spacing w:line="480" w:lineRule="auto"/>
        <w:rPr>
          <w:rFonts w:eastAsiaTheme="minorEastAsia" w:cs="Times New Roman"/>
          <w:sz w:val="30"/>
          <w:szCs w:val="30"/>
        </w:rPr>
      </w:pPr>
      <w:r>
        <w:rPr>
          <w:rFonts w:eastAsiaTheme="minorEastAsia" w:cs="Times New Roman"/>
          <w:sz w:val="30"/>
          <w:szCs w:val="30"/>
        </w:rPr>
        <w:t>960x</w:t>
      </w:r>
      <w:r>
        <w:rPr>
          <w:rFonts w:eastAsiaTheme="minorEastAsia" w:cs="Times New Roman"/>
          <w:sz w:val="30"/>
          <w:szCs w:val="30"/>
          <w:vertAlign w:val="superscript"/>
        </w:rPr>
        <w:t>3</w:t>
      </w:r>
      <w:r>
        <w:rPr>
          <w:rFonts w:eastAsiaTheme="minorEastAsia" w:cs="Times New Roman"/>
          <w:sz w:val="30"/>
          <w:szCs w:val="30"/>
        </w:rPr>
        <w:t>- 545x</w:t>
      </w:r>
      <w:r>
        <w:rPr>
          <w:rFonts w:eastAsiaTheme="minorEastAsia" w:cs="Times New Roman"/>
          <w:sz w:val="30"/>
          <w:szCs w:val="30"/>
          <w:vertAlign w:val="superscript"/>
        </w:rPr>
        <w:t>2</w:t>
      </w:r>
      <w:r w:rsidR="00DD3D99" w:rsidRPr="00DD3D99">
        <w:rPr>
          <w:rFonts w:eastAsiaTheme="minorEastAsia" w:cs="Times New Roman"/>
          <w:sz w:val="30"/>
          <w:szCs w:val="30"/>
        </w:rPr>
        <w:t>-</w:t>
      </w:r>
      <w:r>
        <w:rPr>
          <w:rFonts w:eastAsiaTheme="minorEastAsia" w:cs="Times New Roman"/>
          <w:sz w:val="30"/>
          <w:szCs w:val="30"/>
        </w:rPr>
        <w:t xml:space="preserve"> </w:t>
      </w:r>
      <w:r w:rsidR="00DD3D99" w:rsidRPr="00DD3D99">
        <w:rPr>
          <w:rFonts w:eastAsiaTheme="minorEastAsia" w:cs="Times New Roman"/>
          <w:sz w:val="30"/>
          <w:szCs w:val="30"/>
        </w:rPr>
        <w:t>89x</w:t>
      </w:r>
      <w:r>
        <w:rPr>
          <w:rFonts w:eastAsiaTheme="minorEastAsia" w:cs="Times New Roman"/>
          <w:sz w:val="30"/>
          <w:szCs w:val="30"/>
        </w:rPr>
        <w:t xml:space="preserve"> – </w:t>
      </w:r>
      <w:r w:rsidR="00DD3D99" w:rsidRPr="00DD3D99">
        <w:rPr>
          <w:rFonts w:eastAsiaTheme="minorEastAsia" w:cs="Times New Roman"/>
          <w:sz w:val="30"/>
          <w:szCs w:val="30"/>
        </w:rPr>
        <w:t>997</w:t>
      </w:r>
      <w:r>
        <w:rPr>
          <w:rFonts w:eastAsiaTheme="minorEastAsia" w:cs="Times New Roman"/>
          <w:sz w:val="30"/>
          <w:szCs w:val="30"/>
        </w:rPr>
        <w:t xml:space="preserve"> </w:t>
      </w:r>
      <w:r w:rsidR="00DD3D99" w:rsidRPr="00DD3D99">
        <w:rPr>
          <w:rFonts w:eastAsiaTheme="minorEastAsia" w:cs="Times New Roman"/>
          <w:sz w:val="30"/>
          <w:szCs w:val="30"/>
        </w:rPr>
        <w:t>=</w:t>
      </w:r>
      <w:r>
        <w:rPr>
          <w:rFonts w:eastAsiaTheme="minorEastAsia" w:cs="Times New Roman"/>
          <w:sz w:val="30"/>
          <w:szCs w:val="30"/>
        </w:rPr>
        <w:t xml:space="preserve"> </w:t>
      </w:r>
      <w:r w:rsidR="00DD3D99" w:rsidRPr="00DD3D99">
        <w:rPr>
          <w:rFonts w:eastAsiaTheme="minorEastAsia" w:cs="Times New Roman"/>
          <w:sz w:val="30"/>
          <w:szCs w:val="30"/>
        </w:rPr>
        <w:t>0</w:t>
      </w:r>
    </w:p>
    <w:p w:rsidR="00DD3D99" w:rsidRPr="00DD3D99" w:rsidRDefault="0038101D" w:rsidP="00C25E1B">
      <w:pPr>
        <w:spacing w:line="480" w:lineRule="auto"/>
        <w:rPr>
          <w:rFonts w:eastAsiaTheme="minorEastAsia" w:cs="Times New Roman"/>
          <w:sz w:val="30"/>
          <w:szCs w:val="30"/>
        </w:rPr>
      </w:pPr>
      <w:r>
        <w:rPr>
          <w:rFonts w:eastAsiaTheme="minorEastAsia" w:cs="Times New Roman"/>
          <w:sz w:val="30"/>
          <w:szCs w:val="30"/>
        </w:rPr>
        <w:t xml:space="preserve">x </w:t>
      </w:r>
      <w:r w:rsidR="00DD3D99" w:rsidRPr="00DD3D99">
        <w:rPr>
          <w:rFonts w:eastAsiaTheme="minorEastAsia" w:cs="Times New Roman"/>
          <w:sz w:val="30"/>
          <w:szCs w:val="30"/>
        </w:rPr>
        <w:t>=</w:t>
      </w:r>
      <w:r>
        <w:rPr>
          <w:rFonts w:eastAsiaTheme="minorEastAsia" w:cs="Times New Roman"/>
          <w:sz w:val="30"/>
          <w:szCs w:val="30"/>
        </w:rPr>
        <w:t xml:space="preserve"> </w:t>
      </w:r>
      <w:r w:rsidR="00DD3D99" w:rsidRPr="00DD3D99">
        <w:rPr>
          <w:rFonts w:eastAsiaTheme="minorEastAsia" w:cs="Times New Roman"/>
          <w:sz w:val="30"/>
          <w:szCs w:val="30"/>
        </w:rPr>
        <w:t>1.277</w:t>
      </w:r>
    </w:p>
    <w:p w:rsidR="00DD3D99" w:rsidRDefault="00DD3D99" w:rsidP="00C25E1B">
      <w:pPr>
        <w:spacing w:line="480" w:lineRule="auto"/>
        <w:rPr>
          <w:rFonts w:eastAsiaTheme="minorEastAsia" w:cs="Times New Roman"/>
          <w:sz w:val="30"/>
          <w:szCs w:val="30"/>
        </w:rPr>
      </w:pPr>
      <w:r w:rsidRPr="00DD3D99">
        <w:rPr>
          <w:rFonts w:eastAsiaTheme="minorEastAsia" w:cs="Times New Roman"/>
          <w:sz w:val="30"/>
          <w:szCs w:val="30"/>
        </w:rPr>
        <w:t>Therefore: 1+r</w:t>
      </w:r>
      <w:r w:rsidR="0038101D">
        <w:rPr>
          <w:rFonts w:eastAsiaTheme="minorEastAsia" w:cs="Times New Roman"/>
          <w:sz w:val="30"/>
          <w:szCs w:val="30"/>
        </w:rPr>
        <w:t xml:space="preserve"> </w:t>
      </w:r>
      <w:bookmarkStart w:id="0" w:name="_GoBack"/>
      <w:bookmarkEnd w:id="0"/>
      <w:r w:rsidRPr="00DD3D99">
        <w:rPr>
          <w:rFonts w:eastAsiaTheme="minorEastAsia" w:cs="Times New Roman"/>
          <w:sz w:val="30"/>
          <w:szCs w:val="30"/>
        </w:rPr>
        <w:t>= 1.277</w:t>
      </w:r>
    </w:p>
    <w:p w:rsidR="00FF58C6" w:rsidRDefault="00060FA4" w:rsidP="00C25E1B">
      <w:pPr>
        <w:spacing w:line="480" w:lineRule="auto"/>
        <w:rPr>
          <w:rFonts w:eastAsiaTheme="minorEastAsia" w:cs="Times New Roman"/>
          <w:sz w:val="30"/>
          <w:szCs w:val="30"/>
        </w:rPr>
      </w:pPr>
      <w:r>
        <w:rPr>
          <w:rFonts w:eastAsiaTheme="minorEastAsia" w:cs="Times New Roman"/>
          <w:sz w:val="30"/>
          <w:szCs w:val="30"/>
        </w:rPr>
        <w:t xml:space="preserve">Cross over point </w:t>
      </w:r>
      <w:r w:rsidR="00FF58C6">
        <w:rPr>
          <w:rFonts w:eastAsiaTheme="minorEastAsia" w:cs="Times New Roman"/>
          <w:sz w:val="30"/>
          <w:szCs w:val="30"/>
        </w:rPr>
        <w:t>R=0.277 or 27.7%</w:t>
      </w:r>
    </w:p>
    <w:p w:rsidR="00FF58C6" w:rsidRPr="00DD3D99" w:rsidRDefault="00FF58C6" w:rsidP="00C25E1B">
      <w:pPr>
        <w:spacing w:line="480" w:lineRule="auto"/>
        <w:rPr>
          <w:rFonts w:eastAsiaTheme="minorEastAsia" w:cs="Times New Roman"/>
          <w:sz w:val="30"/>
          <w:szCs w:val="30"/>
        </w:rPr>
      </w:pPr>
      <w:r>
        <w:rPr>
          <w:rFonts w:eastAsiaTheme="minorEastAsia" w:cs="Times New Roman"/>
          <w:sz w:val="30"/>
          <w:szCs w:val="30"/>
        </w:rPr>
        <w:t>The cost of debt should not exceed 27.7%</w:t>
      </w:r>
    </w:p>
    <w:p w:rsidR="00DD3D99" w:rsidRPr="00DD3D99" w:rsidRDefault="00DD3D99" w:rsidP="006D7625">
      <w:pPr>
        <w:spacing w:line="480" w:lineRule="auto"/>
        <w:rPr>
          <w:rFonts w:cs="Times New Roman"/>
          <w:sz w:val="30"/>
          <w:szCs w:val="30"/>
        </w:rPr>
      </w:pPr>
    </w:p>
    <w:sectPr w:rsidR="00DD3D99" w:rsidRPr="00DD3D99">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73BB" w:rsidRDefault="004973BB" w:rsidP="00F634A1">
      <w:pPr>
        <w:spacing w:after="0" w:line="240" w:lineRule="auto"/>
      </w:pPr>
      <w:r>
        <w:separator/>
      </w:r>
    </w:p>
  </w:endnote>
  <w:endnote w:type="continuationSeparator" w:id="0">
    <w:p w:rsidR="004973BB" w:rsidRDefault="004973BB" w:rsidP="00F63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73BB" w:rsidRDefault="004973BB" w:rsidP="00F634A1">
      <w:pPr>
        <w:spacing w:after="0" w:line="240" w:lineRule="auto"/>
      </w:pPr>
      <w:r>
        <w:separator/>
      </w:r>
    </w:p>
  </w:footnote>
  <w:footnote w:type="continuationSeparator" w:id="0">
    <w:p w:rsidR="004973BB" w:rsidRDefault="004973BB" w:rsidP="00F634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0841097"/>
      <w:docPartObj>
        <w:docPartGallery w:val="Page Numbers (Top of Page)"/>
        <w:docPartUnique/>
      </w:docPartObj>
    </w:sdtPr>
    <w:sdtEndPr>
      <w:rPr>
        <w:noProof/>
      </w:rPr>
    </w:sdtEndPr>
    <w:sdtContent>
      <w:p w:rsidR="00F634A1" w:rsidRDefault="00F634A1">
        <w:pPr>
          <w:pStyle w:val="Header"/>
          <w:jc w:val="right"/>
        </w:pPr>
        <w:r>
          <w:fldChar w:fldCharType="begin"/>
        </w:r>
        <w:r>
          <w:instrText xml:space="preserve"> PAGE   \* MERGEFORMAT </w:instrText>
        </w:r>
        <w:r>
          <w:fldChar w:fldCharType="separate"/>
        </w:r>
        <w:r w:rsidR="0038101D">
          <w:rPr>
            <w:noProof/>
          </w:rPr>
          <w:t>3</w:t>
        </w:r>
        <w:r>
          <w:rPr>
            <w:noProof/>
          </w:rPr>
          <w:fldChar w:fldCharType="end"/>
        </w:r>
      </w:p>
    </w:sdtContent>
  </w:sdt>
  <w:p w:rsidR="00F634A1" w:rsidRDefault="00F634A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4E5DAE"/>
    <w:multiLevelType w:val="multilevel"/>
    <w:tmpl w:val="5A8AC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6D3"/>
    <w:rsid w:val="00060FA4"/>
    <w:rsid w:val="000803D6"/>
    <w:rsid w:val="00093BE5"/>
    <w:rsid w:val="0014393F"/>
    <w:rsid w:val="00167362"/>
    <w:rsid w:val="002F6C42"/>
    <w:rsid w:val="00356588"/>
    <w:rsid w:val="0038101D"/>
    <w:rsid w:val="00387C39"/>
    <w:rsid w:val="004973BB"/>
    <w:rsid w:val="00627A6D"/>
    <w:rsid w:val="006D7625"/>
    <w:rsid w:val="0070627D"/>
    <w:rsid w:val="007179C3"/>
    <w:rsid w:val="007406D3"/>
    <w:rsid w:val="0082457A"/>
    <w:rsid w:val="00886510"/>
    <w:rsid w:val="0096057F"/>
    <w:rsid w:val="00A10EF7"/>
    <w:rsid w:val="00B4217E"/>
    <w:rsid w:val="00C25E1B"/>
    <w:rsid w:val="00C358FD"/>
    <w:rsid w:val="00DD3D99"/>
    <w:rsid w:val="00E40982"/>
    <w:rsid w:val="00F634A1"/>
    <w:rsid w:val="00FF06D9"/>
    <w:rsid w:val="00FF5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95A6C"/>
  <w15:chartTrackingRefBased/>
  <w15:docId w15:val="{0D0A39AF-EEAC-4311-94D8-F23FF7CEB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06D3"/>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7406D3"/>
    <w:rPr>
      <w:color w:val="0000FF"/>
      <w:u w:val="single"/>
    </w:rPr>
  </w:style>
  <w:style w:type="character" w:styleId="PlaceholderText">
    <w:name w:val="Placeholder Text"/>
    <w:basedOn w:val="DefaultParagraphFont"/>
    <w:uiPriority w:val="99"/>
    <w:semiHidden/>
    <w:rsid w:val="0070627D"/>
    <w:rPr>
      <w:color w:val="808080"/>
    </w:rPr>
  </w:style>
  <w:style w:type="paragraph" w:styleId="Header">
    <w:name w:val="header"/>
    <w:basedOn w:val="Normal"/>
    <w:link w:val="HeaderChar"/>
    <w:uiPriority w:val="99"/>
    <w:unhideWhenUsed/>
    <w:rsid w:val="00F634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34A1"/>
  </w:style>
  <w:style w:type="paragraph" w:styleId="Footer">
    <w:name w:val="footer"/>
    <w:basedOn w:val="Normal"/>
    <w:link w:val="FooterChar"/>
    <w:uiPriority w:val="99"/>
    <w:unhideWhenUsed/>
    <w:rsid w:val="00F634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34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127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ncyclopedia.net/financial-analysis/e/ebi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incyclopedia.net/financial-analysis/d/debt"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vestment-and-finance.net/financial-analysis/c/common-share.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fincyclopedia.net/financial-analysis/e/eps" TargetMode="External"/><Relationship Id="rId4" Type="http://schemas.openxmlformats.org/officeDocument/2006/relationships/webSettings" Target="webSettings.xml"/><Relationship Id="rId9" Type="http://schemas.openxmlformats.org/officeDocument/2006/relationships/hyperlink" Target="https://fincyclopedia.net/financial-analysis/e/earnings-per-shar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5</cp:revision>
  <dcterms:created xsi:type="dcterms:W3CDTF">2020-10-05T01:35:00Z</dcterms:created>
  <dcterms:modified xsi:type="dcterms:W3CDTF">2020-10-05T01:37:00Z</dcterms:modified>
</cp:coreProperties>
</file>