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30B83" w14:textId="77777777" w:rsidR="00DF61CA" w:rsidRDefault="00DF61CA" w:rsidP="00DF61CA">
      <w:pPr>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NUR 627 – FALL 2020</w:t>
      </w:r>
    </w:p>
    <w:p w14:paraId="23AD48C1" w14:textId="77777777" w:rsidR="00DF61CA" w:rsidRPr="00DA4845" w:rsidRDefault="00DF61CA" w:rsidP="00DF61CA">
      <w:pPr>
        <w:autoSpaceDE w:val="0"/>
        <w:autoSpaceDN w:val="0"/>
        <w:adjustRightInd w:val="0"/>
        <w:spacing w:before="240" w:after="0" w:line="240" w:lineRule="auto"/>
        <w:jc w:val="center"/>
        <w:rPr>
          <w:rFonts w:ascii="Times New Roman" w:hAnsi="Times New Roman"/>
          <w:b/>
          <w:sz w:val="24"/>
          <w:szCs w:val="24"/>
        </w:rPr>
      </w:pPr>
      <w:r>
        <w:rPr>
          <w:rFonts w:ascii="Times New Roman" w:hAnsi="Times New Roman"/>
          <w:b/>
          <w:sz w:val="24"/>
          <w:szCs w:val="24"/>
        </w:rPr>
        <w:t>Makeup test1</w:t>
      </w:r>
    </w:p>
    <w:p w14:paraId="49CCD560" w14:textId="40DDB1FE" w:rsidR="00DF61CA" w:rsidRPr="00D91E1A" w:rsidRDefault="00DF61CA" w:rsidP="00DF61CA">
      <w:pPr>
        <w:autoSpaceDE w:val="0"/>
        <w:autoSpaceDN w:val="0"/>
        <w:adjustRightInd w:val="0"/>
        <w:spacing w:before="240" w:after="0" w:line="240" w:lineRule="auto"/>
        <w:rPr>
          <w:rFonts w:ascii="Times New Roman" w:hAnsi="Times New Roman"/>
          <w:b/>
          <w:sz w:val="24"/>
          <w:szCs w:val="24"/>
        </w:rPr>
      </w:pPr>
      <w:r>
        <w:rPr>
          <w:rFonts w:ascii="Times New Roman" w:hAnsi="Times New Roman"/>
          <w:b/>
          <w:sz w:val="24"/>
          <w:szCs w:val="24"/>
        </w:rPr>
        <w:t>Answer the following NINE</w:t>
      </w:r>
      <w:r w:rsidRPr="00D91E1A">
        <w:rPr>
          <w:rFonts w:ascii="Times New Roman" w:hAnsi="Times New Roman"/>
          <w:b/>
          <w:sz w:val="24"/>
          <w:szCs w:val="24"/>
        </w:rPr>
        <w:t xml:space="preserve"> questions</w:t>
      </w:r>
      <w:r>
        <w:rPr>
          <w:rFonts w:ascii="Times New Roman" w:hAnsi="Times New Roman"/>
          <w:b/>
          <w:sz w:val="24"/>
          <w:szCs w:val="24"/>
        </w:rPr>
        <w:t xml:space="preserve">, </w:t>
      </w:r>
      <w:r w:rsidRPr="0060377A">
        <w:rPr>
          <w:rFonts w:ascii="Times New Roman" w:hAnsi="Times New Roman"/>
          <w:b/>
          <w:sz w:val="24"/>
          <w:szCs w:val="24"/>
          <w:highlight w:val="yellow"/>
        </w:rPr>
        <w:t>provide rationale</w:t>
      </w:r>
      <w:r w:rsidRPr="00D91E1A">
        <w:rPr>
          <w:rFonts w:ascii="Times New Roman" w:hAnsi="Times New Roman"/>
          <w:b/>
          <w:sz w:val="24"/>
          <w:szCs w:val="24"/>
        </w:rPr>
        <w:t xml:space="preserve"> </w:t>
      </w:r>
      <w:r>
        <w:rPr>
          <w:rFonts w:ascii="Times New Roman" w:hAnsi="Times New Roman"/>
          <w:b/>
          <w:sz w:val="24"/>
          <w:szCs w:val="24"/>
        </w:rPr>
        <w:t xml:space="preserve">for your answer </w:t>
      </w:r>
      <w:r w:rsidRPr="00D91E1A">
        <w:rPr>
          <w:rFonts w:ascii="Times New Roman" w:hAnsi="Times New Roman"/>
          <w:b/>
          <w:sz w:val="24"/>
          <w:szCs w:val="24"/>
        </w:rPr>
        <w:t xml:space="preserve">and send by email </w:t>
      </w:r>
    </w:p>
    <w:p w14:paraId="5222A5BB" w14:textId="77777777" w:rsidR="0000189D" w:rsidRPr="00D91E1A" w:rsidRDefault="0000189D" w:rsidP="00D91E1A">
      <w:pPr>
        <w:autoSpaceDE w:val="0"/>
        <w:autoSpaceDN w:val="0"/>
        <w:adjustRightInd w:val="0"/>
        <w:spacing w:before="240" w:after="0" w:line="240" w:lineRule="auto"/>
        <w:rPr>
          <w:rFonts w:ascii="Times New Roman" w:hAnsi="Times New Roman"/>
          <w:b/>
          <w:sz w:val="24"/>
          <w:szCs w:val="24"/>
        </w:rPr>
      </w:pPr>
    </w:p>
    <w:p w14:paraId="163CD951" w14:textId="77777777" w:rsidR="009F5E96" w:rsidRPr="009F5E96" w:rsidRDefault="009F5E96" w:rsidP="009F5E96">
      <w:pPr>
        <w:numPr>
          <w:ilvl w:val="0"/>
          <w:numId w:val="1"/>
        </w:numPr>
        <w:shd w:val="clear" w:color="auto" w:fill="FFFFFF"/>
        <w:spacing w:after="0" w:line="225" w:lineRule="atLeast"/>
        <w:rPr>
          <w:rFonts w:ascii="Times New Roman" w:eastAsia="Times New Roman" w:hAnsi="Times New Roman"/>
          <w:sz w:val="24"/>
          <w:szCs w:val="24"/>
          <w:lang w:val="en"/>
        </w:rPr>
      </w:pPr>
      <w:r w:rsidRPr="009F5E96">
        <w:rPr>
          <w:rFonts w:ascii="Times New Roman" w:eastAsia="Times New Roman" w:hAnsi="Times New Roman"/>
          <w:sz w:val="24"/>
          <w:szCs w:val="24"/>
          <w:lang w:val="en"/>
        </w:rPr>
        <w:t xml:space="preserve">Which of the following improves the reliability of diabetes screening tests? </w:t>
      </w:r>
    </w:p>
    <w:p w14:paraId="3769BEDC"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Having the same lab analyze all samples </w:t>
      </w:r>
    </w:p>
    <w:p w14:paraId="6ECBCDDE"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Taking more than one sample for each subject and averaging the results </w:t>
      </w:r>
    </w:p>
    <w:p w14:paraId="1BA5B696" w14:textId="77777777" w:rsidR="009F5E96" w:rsidRPr="006F3C10"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Insuring that the instrument is standardized before each sample is analyzed </w:t>
      </w:r>
    </w:p>
    <w:p w14:paraId="3F5A5290" w14:textId="77777777" w:rsidR="009F5E96"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lang w:val="en"/>
        </w:rPr>
      </w:pPr>
      <w:r w:rsidRPr="006F3C10">
        <w:rPr>
          <w:rFonts w:ascii="Times New Roman" w:eastAsia="Times New Roman" w:hAnsi="Times New Roman"/>
          <w:sz w:val="24"/>
          <w:szCs w:val="24"/>
          <w:lang w:val="en"/>
        </w:rPr>
        <w:t xml:space="preserve">a and c only </w:t>
      </w:r>
    </w:p>
    <w:p w14:paraId="071E2F64" w14:textId="77777777" w:rsidR="009F5E96" w:rsidRPr="001E1937" w:rsidRDefault="009F5E96" w:rsidP="009F5E96">
      <w:pPr>
        <w:numPr>
          <w:ilvl w:val="0"/>
          <w:numId w:val="3"/>
        </w:numPr>
        <w:shd w:val="clear" w:color="auto" w:fill="FFFFFF"/>
        <w:tabs>
          <w:tab w:val="clear" w:pos="720"/>
          <w:tab w:val="num" w:pos="1170"/>
        </w:tabs>
        <w:spacing w:before="100" w:beforeAutospacing="1" w:after="100" w:afterAutospacing="1" w:line="225" w:lineRule="atLeast"/>
        <w:ind w:left="1170"/>
        <w:rPr>
          <w:rFonts w:ascii="Times New Roman" w:eastAsia="Times New Roman" w:hAnsi="Times New Roman"/>
          <w:sz w:val="24"/>
          <w:szCs w:val="24"/>
          <w:highlight w:val="yellow"/>
          <w:lang w:val="en"/>
        </w:rPr>
      </w:pPr>
      <w:r w:rsidRPr="001E1937">
        <w:rPr>
          <w:rFonts w:ascii="Times New Roman" w:eastAsia="Times New Roman" w:hAnsi="Times New Roman"/>
          <w:sz w:val="24"/>
          <w:szCs w:val="24"/>
          <w:highlight w:val="yellow"/>
          <w:lang w:val="en"/>
        </w:rPr>
        <w:t>All of the above</w:t>
      </w:r>
    </w:p>
    <w:p w14:paraId="2C0CB0F9" w14:textId="77777777" w:rsidR="009F5E96" w:rsidRPr="009C0F28" w:rsidRDefault="00DF61CA" w:rsidP="009F5E96">
      <w:pPr>
        <w:numPr>
          <w:ilvl w:val="0"/>
          <w:numId w:val="1"/>
        </w:numPr>
        <w:autoSpaceDE w:val="0"/>
        <w:autoSpaceDN w:val="0"/>
        <w:adjustRightInd w:val="0"/>
        <w:spacing w:before="320" w:after="0" w:line="240" w:lineRule="auto"/>
        <w:contextualSpacing/>
        <w:rPr>
          <w:rFonts w:ascii="Times New Roman" w:hAnsi="Times New Roman"/>
          <w:sz w:val="24"/>
          <w:szCs w:val="24"/>
        </w:rPr>
      </w:pPr>
      <w:r>
        <w:rPr>
          <w:rFonts w:ascii="Times New Roman" w:hAnsi="Times New Roman"/>
          <w:sz w:val="24"/>
          <w:szCs w:val="24"/>
        </w:rPr>
        <w:t>In 1990, there were 6,5</w:t>
      </w:r>
      <w:r w:rsidR="009F5E96" w:rsidRPr="009C0F28">
        <w:rPr>
          <w:rFonts w:ascii="Times New Roman" w:hAnsi="Times New Roman"/>
          <w:sz w:val="24"/>
          <w:szCs w:val="24"/>
        </w:rPr>
        <w:t xml:space="preserve">00 deaths due to lung diseases in miners aged 20 to 64 years. The expected number of deaths in this occupational group, based on age-specific death rates from lung diseases in all </w:t>
      </w:r>
      <w:r>
        <w:rPr>
          <w:rFonts w:ascii="Times New Roman" w:hAnsi="Times New Roman"/>
          <w:sz w:val="24"/>
          <w:szCs w:val="24"/>
        </w:rPr>
        <w:t>males aged 20 to 64 years, was 1</w:t>
      </w:r>
      <w:r w:rsidR="00374175">
        <w:rPr>
          <w:rFonts w:ascii="Times New Roman" w:hAnsi="Times New Roman"/>
          <w:sz w:val="24"/>
          <w:szCs w:val="24"/>
        </w:rPr>
        <w:t>,5</w:t>
      </w:r>
      <w:r w:rsidR="009F5E96" w:rsidRPr="009C0F28">
        <w:rPr>
          <w:rFonts w:ascii="Times New Roman" w:hAnsi="Times New Roman"/>
          <w:sz w:val="24"/>
          <w:szCs w:val="24"/>
        </w:rPr>
        <w:t>00 during 1990.</w:t>
      </w:r>
    </w:p>
    <w:p w14:paraId="7DEE0949" w14:textId="77777777" w:rsidR="009F5E96" w:rsidRPr="009C0F28" w:rsidRDefault="009F5E96" w:rsidP="009F5E96">
      <w:pPr>
        <w:pStyle w:val="ListParagraph"/>
        <w:numPr>
          <w:ilvl w:val="0"/>
          <w:numId w:val="2"/>
        </w:numPr>
        <w:autoSpaceDE w:val="0"/>
        <w:autoSpaceDN w:val="0"/>
        <w:adjustRightInd w:val="0"/>
        <w:spacing w:before="320" w:after="0" w:line="240" w:lineRule="auto"/>
        <w:ind w:left="1530"/>
        <w:rPr>
          <w:rFonts w:ascii="Times New Roman" w:hAnsi="Times New Roman"/>
          <w:sz w:val="24"/>
          <w:szCs w:val="24"/>
        </w:rPr>
      </w:pPr>
      <w:r w:rsidRPr="009C0F28">
        <w:rPr>
          <w:rFonts w:ascii="Times New Roman" w:hAnsi="Times New Roman"/>
          <w:sz w:val="24"/>
          <w:szCs w:val="24"/>
        </w:rPr>
        <w:t xml:space="preserve">What was the standardized mortality ratio (SMR) for lung diseases in miners? </w:t>
      </w:r>
    </w:p>
    <w:p w14:paraId="2FE724A4" w14:textId="7EAA53AE" w:rsidR="009F5E96" w:rsidRPr="009C0F28" w:rsidRDefault="002C4EB0" w:rsidP="009F5E96">
      <w:pPr>
        <w:autoSpaceDE w:val="0"/>
        <w:autoSpaceDN w:val="0"/>
        <w:adjustRightInd w:val="0"/>
        <w:spacing w:before="240" w:after="0"/>
        <w:ind w:left="450"/>
        <w:contextualSpacing/>
        <w:rPr>
          <w:rFonts w:ascii="Times New Roman" w:hAnsi="Times New Roman"/>
          <w:sz w:val="24"/>
          <w:szCs w:val="24"/>
        </w:rPr>
      </w:pPr>
      <w:r>
        <w:rPr>
          <w:rStyle w:val="t"/>
        </w:rPr>
        <w:t>SMR = 4,500/1,800 = 2.5 (it is a ratio with no</w:t>
      </w:r>
      <w:r>
        <w:t xml:space="preserve"> </w:t>
      </w:r>
      <w:r>
        <w:rPr>
          <w:rStyle w:val="t"/>
        </w:rPr>
        <w:t>units)</w:t>
      </w:r>
    </w:p>
    <w:p w14:paraId="51756970" w14:textId="536FE440" w:rsidR="009F5E96" w:rsidRDefault="009F5E96" w:rsidP="009F5E96">
      <w:pPr>
        <w:pStyle w:val="ListParagraph"/>
        <w:numPr>
          <w:ilvl w:val="0"/>
          <w:numId w:val="2"/>
        </w:numPr>
        <w:autoSpaceDE w:val="0"/>
        <w:autoSpaceDN w:val="0"/>
        <w:adjustRightInd w:val="0"/>
        <w:spacing w:before="240" w:after="0"/>
        <w:ind w:left="1530"/>
        <w:rPr>
          <w:rFonts w:ascii="Times New Roman" w:hAnsi="Times New Roman"/>
          <w:sz w:val="24"/>
          <w:szCs w:val="24"/>
        </w:rPr>
      </w:pPr>
      <w:r w:rsidRPr="009C0F28">
        <w:rPr>
          <w:rFonts w:ascii="Times New Roman" w:hAnsi="Times New Roman"/>
          <w:sz w:val="24"/>
          <w:szCs w:val="24"/>
        </w:rPr>
        <w:t xml:space="preserve">Interpret the value of the SMR: </w:t>
      </w:r>
    </w:p>
    <w:p w14:paraId="06944B63" w14:textId="704E813B" w:rsidR="002C4EB0" w:rsidRPr="002C4EB0" w:rsidRDefault="002C4EB0" w:rsidP="002C4EB0">
      <w:pPr>
        <w:autoSpaceDE w:val="0"/>
        <w:autoSpaceDN w:val="0"/>
        <w:adjustRightInd w:val="0"/>
        <w:spacing w:before="240" w:after="0"/>
        <w:rPr>
          <w:rFonts w:ascii="Times New Roman" w:hAnsi="Times New Roman"/>
          <w:sz w:val="24"/>
          <w:szCs w:val="24"/>
        </w:rPr>
      </w:pPr>
      <w:r>
        <w:rPr>
          <w:rFonts w:ascii="Times New Roman" w:hAnsi="Times New Roman"/>
          <w:sz w:val="24"/>
          <w:szCs w:val="24"/>
        </w:rPr>
        <w:t xml:space="preserve">    </w:t>
      </w:r>
      <w:r>
        <w:rPr>
          <w:rStyle w:val="t"/>
        </w:rPr>
        <w:t>SMR= the ratio of the total</w:t>
      </w:r>
      <w:r>
        <w:t xml:space="preserve"> </w:t>
      </w:r>
      <w:r>
        <w:rPr>
          <w:rStyle w:val="t"/>
        </w:rPr>
        <w:t>number of (lung disease) deaths actually observed to</w:t>
      </w:r>
      <w:r>
        <w:t xml:space="preserve"> </w:t>
      </w:r>
      <w:r>
        <w:rPr>
          <w:rStyle w:val="t"/>
        </w:rPr>
        <w:t xml:space="preserve">the total number of </w:t>
      </w:r>
      <w:r>
        <w:rPr>
          <w:rStyle w:val="t"/>
        </w:rPr>
        <w:t xml:space="preserve">  </w:t>
      </w:r>
      <w:r>
        <w:rPr>
          <w:rStyle w:val="t"/>
        </w:rPr>
        <w:t>(lung disease) deaths expected if</w:t>
      </w:r>
      <w:r>
        <w:t xml:space="preserve"> </w:t>
      </w:r>
      <w:r>
        <w:rPr>
          <w:rStyle w:val="t"/>
        </w:rPr>
        <w:t>the population of interest (miners) had had the</w:t>
      </w:r>
      <w:r>
        <w:t xml:space="preserve"> </w:t>
      </w:r>
      <w:r>
        <w:rPr>
          <w:rStyle w:val="t"/>
        </w:rPr>
        <w:t>mortality experience of the known population (all</w:t>
      </w:r>
      <w:r>
        <w:t xml:space="preserve"> </w:t>
      </w:r>
      <w:r>
        <w:rPr>
          <w:rStyle w:val="t"/>
        </w:rPr>
        <w:t>males).SMR = 4,500/1,800 = 2.5 (it is a ratio with no</w:t>
      </w:r>
      <w:r>
        <w:t xml:space="preserve"> </w:t>
      </w:r>
      <w:r>
        <w:rPr>
          <w:rStyle w:val="t"/>
        </w:rPr>
        <w:t>units)</w:t>
      </w:r>
    </w:p>
    <w:p w14:paraId="205AE0EE" w14:textId="77777777" w:rsidR="009F5E96" w:rsidRDefault="009F5E96" w:rsidP="009F5E96">
      <w:pPr>
        <w:pStyle w:val="ListParagraph"/>
        <w:autoSpaceDE w:val="0"/>
        <w:autoSpaceDN w:val="0"/>
        <w:adjustRightInd w:val="0"/>
        <w:spacing w:before="240" w:after="0" w:line="240" w:lineRule="auto"/>
        <w:ind w:left="810"/>
        <w:rPr>
          <w:rFonts w:ascii="Times New Roman" w:hAnsi="Times New Roman"/>
          <w:sz w:val="24"/>
          <w:szCs w:val="24"/>
        </w:rPr>
      </w:pPr>
    </w:p>
    <w:p w14:paraId="5973CBDF" w14:textId="77777777" w:rsidR="009C0F28" w:rsidRPr="009C0F28" w:rsidRDefault="009C0F28" w:rsidP="00A53B28">
      <w:pPr>
        <w:pStyle w:val="ListParagraph"/>
        <w:numPr>
          <w:ilvl w:val="0"/>
          <w:numId w:val="1"/>
        </w:numPr>
        <w:autoSpaceDE w:val="0"/>
        <w:autoSpaceDN w:val="0"/>
        <w:adjustRightInd w:val="0"/>
        <w:spacing w:after="0" w:line="240" w:lineRule="auto"/>
        <w:rPr>
          <w:rFonts w:ascii="Times New Roman" w:hAnsi="Times New Roman"/>
          <w:sz w:val="24"/>
          <w:szCs w:val="24"/>
        </w:rPr>
      </w:pPr>
      <w:r w:rsidRPr="009C0F28">
        <w:rPr>
          <w:rFonts w:ascii="Times New Roman" w:hAnsi="Times New Roman"/>
          <w:sz w:val="24"/>
          <w:szCs w:val="24"/>
        </w:rPr>
        <w:t>What would be the effect on age-specific incidence rates if women w</w:t>
      </w:r>
      <w:r w:rsidR="00374175">
        <w:rPr>
          <w:rFonts w:ascii="Times New Roman" w:hAnsi="Times New Roman"/>
          <w:sz w:val="24"/>
          <w:szCs w:val="24"/>
        </w:rPr>
        <w:t>ith hysterectomies were excluded</w:t>
      </w:r>
      <w:r w:rsidRPr="009C0F28">
        <w:rPr>
          <w:rFonts w:ascii="Times New Roman" w:hAnsi="Times New Roman"/>
          <w:sz w:val="24"/>
          <w:szCs w:val="24"/>
        </w:rPr>
        <w:t xml:space="preserve"> in the denominator of calculations, assuming that there are some women in each age group who have had hysterectomies? </w:t>
      </w:r>
    </w:p>
    <w:p w14:paraId="4A6119CE" w14:textId="77777777" w:rsidR="009C0F28" w:rsidRPr="009C0F28" w:rsidRDefault="009C0F28" w:rsidP="00A53B28">
      <w:pPr>
        <w:autoSpaceDE w:val="0"/>
        <w:autoSpaceDN w:val="0"/>
        <w:adjustRightInd w:val="0"/>
        <w:spacing w:after="0" w:line="240" w:lineRule="auto"/>
        <w:ind w:left="1080"/>
        <w:contextualSpacing/>
        <w:rPr>
          <w:rFonts w:ascii="Times New Roman" w:hAnsi="Times New Roman"/>
          <w:sz w:val="24"/>
          <w:szCs w:val="24"/>
        </w:rPr>
      </w:pPr>
      <w:r w:rsidRPr="009C0F28">
        <w:rPr>
          <w:rFonts w:ascii="Times New Roman" w:hAnsi="Times New Roman"/>
          <w:bCs/>
          <w:sz w:val="24"/>
          <w:szCs w:val="24"/>
        </w:rPr>
        <w:t>a.</w:t>
      </w:r>
      <w:r w:rsidRPr="009C0F28">
        <w:rPr>
          <w:rFonts w:ascii="Times New Roman" w:hAnsi="Times New Roman"/>
          <w:sz w:val="24"/>
          <w:szCs w:val="24"/>
        </w:rPr>
        <w:tab/>
        <w:t>the rates would remain the same</w:t>
      </w:r>
    </w:p>
    <w:p w14:paraId="0A27CDFA" w14:textId="77777777" w:rsidR="009C0F28" w:rsidRPr="009C0F28" w:rsidRDefault="009C0F28" w:rsidP="00A53B28">
      <w:pPr>
        <w:autoSpaceDE w:val="0"/>
        <w:autoSpaceDN w:val="0"/>
        <w:adjustRightInd w:val="0"/>
        <w:spacing w:after="0" w:line="240" w:lineRule="auto"/>
        <w:ind w:left="1080"/>
        <w:contextualSpacing/>
        <w:rPr>
          <w:rFonts w:ascii="Times New Roman" w:hAnsi="Times New Roman"/>
          <w:sz w:val="24"/>
          <w:szCs w:val="24"/>
        </w:rPr>
      </w:pPr>
      <w:r w:rsidRPr="009C0F28">
        <w:rPr>
          <w:rFonts w:ascii="Times New Roman" w:hAnsi="Times New Roman"/>
          <w:bCs/>
          <w:sz w:val="24"/>
          <w:szCs w:val="24"/>
        </w:rPr>
        <w:t>b.</w:t>
      </w:r>
      <w:r w:rsidRPr="009C0F28">
        <w:rPr>
          <w:rFonts w:ascii="Times New Roman" w:hAnsi="Times New Roman"/>
          <w:sz w:val="24"/>
          <w:szCs w:val="24"/>
        </w:rPr>
        <w:tab/>
        <w:t>the rates would tend to decrease</w:t>
      </w:r>
    </w:p>
    <w:p w14:paraId="3415B701" w14:textId="77777777" w:rsidR="009C0F28" w:rsidRPr="009C0F28" w:rsidRDefault="009C0F28" w:rsidP="00A53B28">
      <w:pPr>
        <w:autoSpaceDE w:val="0"/>
        <w:autoSpaceDN w:val="0"/>
        <w:adjustRightInd w:val="0"/>
        <w:spacing w:after="0" w:line="240" w:lineRule="auto"/>
        <w:ind w:left="1080"/>
        <w:contextualSpacing/>
        <w:rPr>
          <w:rFonts w:ascii="Times New Roman" w:hAnsi="Times New Roman"/>
          <w:sz w:val="24"/>
          <w:szCs w:val="24"/>
        </w:rPr>
      </w:pPr>
      <w:r w:rsidRPr="002C4EB0">
        <w:rPr>
          <w:rFonts w:ascii="Times New Roman" w:hAnsi="Times New Roman"/>
          <w:bCs/>
          <w:sz w:val="24"/>
          <w:szCs w:val="24"/>
          <w:highlight w:val="yellow"/>
        </w:rPr>
        <w:t>c.</w:t>
      </w:r>
      <w:r w:rsidRPr="002C4EB0">
        <w:rPr>
          <w:rFonts w:ascii="Times New Roman" w:hAnsi="Times New Roman"/>
          <w:sz w:val="24"/>
          <w:szCs w:val="24"/>
          <w:highlight w:val="yellow"/>
        </w:rPr>
        <w:tab/>
        <w:t>the rates would tend to increase</w:t>
      </w:r>
    </w:p>
    <w:p w14:paraId="401A6A45" w14:textId="77777777" w:rsidR="009C0F28" w:rsidRPr="009C0F28" w:rsidRDefault="009C0F28" w:rsidP="00A53B28">
      <w:pPr>
        <w:autoSpaceDE w:val="0"/>
        <w:autoSpaceDN w:val="0"/>
        <w:adjustRightInd w:val="0"/>
        <w:spacing w:after="0" w:line="240" w:lineRule="auto"/>
        <w:ind w:left="1080"/>
        <w:contextualSpacing/>
        <w:rPr>
          <w:rFonts w:ascii="Times New Roman" w:hAnsi="Times New Roman"/>
          <w:sz w:val="24"/>
          <w:szCs w:val="24"/>
        </w:rPr>
      </w:pPr>
      <w:r w:rsidRPr="009C0F28">
        <w:rPr>
          <w:rFonts w:ascii="Times New Roman" w:hAnsi="Times New Roman"/>
          <w:bCs/>
          <w:sz w:val="24"/>
          <w:szCs w:val="24"/>
        </w:rPr>
        <w:t>d.</w:t>
      </w:r>
      <w:r w:rsidRPr="009C0F28">
        <w:rPr>
          <w:rFonts w:ascii="Times New Roman" w:hAnsi="Times New Roman"/>
          <w:sz w:val="24"/>
          <w:szCs w:val="24"/>
        </w:rPr>
        <w:tab/>
        <w:t>the rates would increase in older groups and decrease in younger groups</w:t>
      </w:r>
    </w:p>
    <w:p w14:paraId="506BA8CA" w14:textId="77777777" w:rsidR="009C0F28" w:rsidRPr="009C0F28" w:rsidRDefault="009C0F28" w:rsidP="00A53B28">
      <w:pPr>
        <w:autoSpaceDE w:val="0"/>
        <w:autoSpaceDN w:val="0"/>
        <w:adjustRightInd w:val="0"/>
        <w:spacing w:after="0" w:line="240" w:lineRule="auto"/>
        <w:ind w:left="1080"/>
        <w:contextualSpacing/>
        <w:rPr>
          <w:rFonts w:ascii="Times New Roman" w:hAnsi="Times New Roman"/>
          <w:sz w:val="24"/>
          <w:szCs w:val="24"/>
        </w:rPr>
      </w:pPr>
      <w:r w:rsidRPr="009C0F28">
        <w:rPr>
          <w:rFonts w:ascii="Times New Roman" w:hAnsi="Times New Roman"/>
          <w:bCs/>
          <w:sz w:val="24"/>
          <w:szCs w:val="24"/>
        </w:rPr>
        <w:t>e.</w:t>
      </w:r>
      <w:r w:rsidRPr="009C0F28">
        <w:rPr>
          <w:rFonts w:ascii="Times New Roman" w:hAnsi="Times New Roman"/>
          <w:sz w:val="24"/>
          <w:szCs w:val="24"/>
        </w:rPr>
        <w:tab/>
        <w:t>it cannot be determined whether the rates would increase or decrease</w:t>
      </w:r>
    </w:p>
    <w:p w14:paraId="4D373169" w14:textId="77777777" w:rsidR="009C0F28" w:rsidRDefault="009C0F28"/>
    <w:p w14:paraId="596F75CA" w14:textId="77777777" w:rsidR="00D91E1A" w:rsidRPr="00D91E1A" w:rsidRDefault="00374175" w:rsidP="00D91E1A">
      <w:pPr>
        <w:autoSpaceDE w:val="0"/>
        <w:autoSpaceDN w:val="0"/>
        <w:adjustRightInd w:val="0"/>
        <w:spacing w:before="240" w:after="0" w:line="240" w:lineRule="auto"/>
        <w:ind w:left="720"/>
        <w:contextualSpacing/>
        <w:rPr>
          <w:rFonts w:ascii="Times New Roman" w:hAnsi="Times New Roman"/>
          <w:sz w:val="24"/>
          <w:szCs w:val="24"/>
        </w:rPr>
      </w:pPr>
      <w:r>
        <w:rPr>
          <w:rFonts w:ascii="Times New Roman" w:hAnsi="Times New Roman"/>
          <w:bCs/>
          <w:sz w:val="24"/>
          <w:szCs w:val="24"/>
        </w:rPr>
        <w:t>Question 6</w:t>
      </w:r>
      <w:r w:rsidR="00D91E1A" w:rsidRPr="00D91E1A">
        <w:rPr>
          <w:rFonts w:ascii="Times New Roman" w:hAnsi="Times New Roman"/>
          <w:bCs/>
          <w:sz w:val="24"/>
          <w:szCs w:val="24"/>
        </w:rPr>
        <w:t xml:space="preserve"> is based on the following information:</w:t>
      </w:r>
    </w:p>
    <w:p w14:paraId="2406AEC3" w14:textId="77777777" w:rsidR="00D91E1A" w:rsidRPr="006F3C10" w:rsidRDefault="00D91E1A" w:rsidP="00A53B28">
      <w:pPr>
        <w:autoSpaceDE w:val="0"/>
        <w:autoSpaceDN w:val="0"/>
        <w:adjustRightInd w:val="0"/>
        <w:spacing w:before="240" w:after="0" w:line="240" w:lineRule="auto"/>
        <w:ind w:left="720" w:firstLine="180"/>
        <w:contextualSpacing/>
        <w:rPr>
          <w:rFonts w:ascii="Times New Roman" w:hAnsi="Times New Roman"/>
          <w:sz w:val="24"/>
          <w:szCs w:val="24"/>
        </w:rPr>
      </w:pPr>
      <w:r w:rsidRPr="006F3C10">
        <w:rPr>
          <w:rFonts w:ascii="Times New Roman" w:hAnsi="Times New Roman"/>
          <w:sz w:val="24"/>
          <w:szCs w:val="24"/>
        </w:rPr>
        <w:t>A physical examination and an audiometric test were given to 500 persons with suspected hearing problems, of whom 300 were actually found to have them. The results of the examinations were as follows:</w:t>
      </w:r>
    </w:p>
    <w:p w14:paraId="2F6B234A"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p>
    <w:p w14:paraId="3C35AD6B"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r w:rsidRPr="006F3C10">
        <w:rPr>
          <w:rFonts w:ascii="Times New Roman" w:hAnsi="Times New Roman"/>
          <w:sz w:val="24"/>
          <w:szCs w:val="24"/>
        </w:rPr>
        <w:t>PHYSICAL EXAMINATION</w:t>
      </w:r>
    </w:p>
    <w:p w14:paraId="724AAC0C"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lastRenderedPageBreak/>
        <w:t>HEARING PROBLEMS</w:t>
      </w:r>
    </w:p>
    <w:p w14:paraId="35B741D2"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Result</w:t>
      </w:r>
      <w:r w:rsidRPr="006F3C10">
        <w:rPr>
          <w:rFonts w:ascii="Times New Roman" w:hAnsi="Times New Roman"/>
          <w:sz w:val="24"/>
          <w:szCs w:val="24"/>
        </w:rPr>
        <w:tab/>
        <w:t>Present</w:t>
      </w:r>
      <w:r w:rsidRPr="006F3C10">
        <w:rPr>
          <w:rFonts w:ascii="Times New Roman" w:hAnsi="Times New Roman"/>
          <w:sz w:val="24"/>
          <w:szCs w:val="24"/>
        </w:rPr>
        <w:tab/>
      </w:r>
      <w:r w:rsidRPr="006F3C10">
        <w:rPr>
          <w:rFonts w:ascii="Times New Roman" w:hAnsi="Times New Roman"/>
          <w:sz w:val="24"/>
          <w:szCs w:val="24"/>
        </w:rPr>
        <w:tab/>
        <w:t>Absent</w:t>
      </w:r>
    </w:p>
    <w:p w14:paraId="5264D9B3" w14:textId="77777777" w:rsidR="00D91E1A" w:rsidRPr="006F3C10" w:rsidRDefault="008E7859"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Positive</w:t>
      </w:r>
      <w:r>
        <w:rPr>
          <w:rFonts w:ascii="Times New Roman" w:hAnsi="Times New Roman"/>
          <w:sz w:val="24"/>
          <w:szCs w:val="24"/>
        </w:rPr>
        <w:tab/>
        <w:t>26</w:t>
      </w:r>
      <w:r w:rsidR="0000189D">
        <w:rPr>
          <w:rFonts w:ascii="Times New Roman" w:hAnsi="Times New Roman"/>
          <w:sz w:val="24"/>
          <w:szCs w:val="24"/>
        </w:rPr>
        <w:t>0</w:t>
      </w:r>
      <w:r w:rsidR="0000189D">
        <w:rPr>
          <w:rFonts w:ascii="Times New Roman" w:hAnsi="Times New Roman"/>
          <w:sz w:val="24"/>
          <w:szCs w:val="24"/>
        </w:rPr>
        <w:tab/>
      </w:r>
      <w:r w:rsidR="0000189D">
        <w:rPr>
          <w:rFonts w:ascii="Times New Roman" w:hAnsi="Times New Roman"/>
          <w:sz w:val="24"/>
          <w:szCs w:val="24"/>
        </w:rPr>
        <w:tab/>
        <w:t> 3</w:t>
      </w:r>
      <w:r w:rsidR="00D91E1A" w:rsidRPr="006F3C10">
        <w:rPr>
          <w:rFonts w:ascii="Times New Roman" w:hAnsi="Times New Roman"/>
          <w:sz w:val="24"/>
          <w:szCs w:val="24"/>
        </w:rPr>
        <w:t>0</w:t>
      </w:r>
    </w:p>
    <w:p w14:paraId="02007BA7" w14:textId="77777777" w:rsidR="00D91E1A" w:rsidRPr="006F3C10" w:rsidRDefault="008E7859"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Negative</w:t>
      </w:r>
      <w:r>
        <w:rPr>
          <w:rFonts w:ascii="Times New Roman" w:hAnsi="Times New Roman"/>
          <w:sz w:val="24"/>
          <w:szCs w:val="24"/>
        </w:rPr>
        <w:tab/>
        <w:t>4</w:t>
      </w:r>
      <w:r w:rsidR="00D91E1A">
        <w:rPr>
          <w:rFonts w:ascii="Times New Roman" w:hAnsi="Times New Roman"/>
          <w:sz w:val="24"/>
          <w:szCs w:val="24"/>
        </w:rPr>
        <w:t>0</w:t>
      </w:r>
      <w:r w:rsidR="0000189D">
        <w:rPr>
          <w:rFonts w:ascii="Times New Roman" w:hAnsi="Times New Roman"/>
          <w:sz w:val="24"/>
          <w:szCs w:val="24"/>
        </w:rPr>
        <w:tab/>
      </w:r>
      <w:r w:rsidR="0000189D">
        <w:rPr>
          <w:rFonts w:ascii="Times New Roman" w:hAnsi="Times New Roman"/>
          <w:sz w:val="24"/>
          <w:szCs w:val="24"/>
        </w:rPr>
        <w:tab/>
        <w:t>17</w:t>
      </w:r>
      <w:r w:rsidR="00D91E1A" w:rsidRPr="006F3C10">
        <w:rPr>
          <w:rFonts w:ascii="Times New Roman" w:hAnsi="Times New Roman"/>
          <w:sz w:val="24"/>
          <w:szCs w:val="24"/>
        </w:rPr>
        <w:t>0</w:t>
      </w:r>
    </w:p>
    <w:p w14:paraId="67945E0D"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p>
    <w:p w14:paraId="41E91542" w14:textId="77777777" w:rsidR="00D91E1A" w:rsidRPr="006F3C10" w:rsidRDefault="00D91E1A" w:rsidP="00D91E1A">
      <w:pPr>
        <w:autoSpaceDE w:val="0"/>
        <w:autoSpaceDN w:val="0"/>
        <w:adjustRightInd w:val="0"/>
        <w:spacing w:before="320" w:after="0" w:line="240" w:lineRule="auto"/>
        <w:ind w:left="900"/>
        <w:contextualSpacing/>
        <w:rPr>
          <w:rFonts w:ascii="Times New Roman" w:hAnsi="Times New Roman"/>
          <w:sz w:val="24"/>
          <w:szCs w:val="24"/>
        </w:rPr>
      </w:pPr>
      <w:r w:rsidRPr="006F3C10">
        <w:rPr>
          <w:rFonts w:ascii="Times New Roman" w:hAnsi="Times New Roman"/>
          <w:sz w:val="24"/>
          <w:szCs w:val="24"/>
        </w:rPr>
        <w:t>AUDIOMETRIC TEST</w:t>
      </w:r>
    </w:p>
    <w:p w14:paraId="25E14B1D"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HEARING PROBLEMS</w:t>
      </w:r>
    </w:p>
    <w:p w14:paraId="4F0B4B9C" w14:textId="77777777" w:rsidR="00D91E1A" w:rsidRPr="006F3C10" w:rsidRDefault="00D91E1A" w:rsidP="00D91E1A">
      <w:pPr>
        <w:autoSpaceDE w:val="0"/>
        <w:autoSpaceDN w:val="0"/>
        <w:adjustRightInd w:val="0"/>
        <w:spacing w:before="240" w:after="0" w:line="240" w:lineRule="auto"/>
        <w:ind w:left="1620"/>
        <w:contextualSpacing/>
        <w:rPr>
          <w:rFonts w:ascii="Times New Roman" w:hAnsi="Times New Roman"/>
          <w:sz w:val="24"/>
          <w:szCs w:val="24"/>
        </w:rPr>
      </w:pPr>
      <w:r w:rsidRPr="006F3C10">
        <w:rPr>
          <w:rFonts w:ascii="Times New Roman" w:hAnsi="Times New Roman"/>
          <w:sz w:val="24"/>
          <w:szCs w:val="24"/>
        </w:rPr>
        <w:t>Result</w:t>
      </w:r>
      <w:r w:rsidRPr="006F3C10">
        <w:rPr>
          <w:rFonts w:ascii="Times New Roman" w:hAnsi="Times New Roman"/>
          <w:sz w:val="24"/>
          <w:szCs w:val="24"/>
        </w:rPr>
        <w:tab/>
        <w:t>Present</w:t>
      </w:r>
      <w:r w:rsidRPr="006F3C10">
        <w:rPr>
          <w:rFonts w:ascii="Times New Roman" w:hAnsi="Times New Roman"/>
          <w:sz w:val="24"/>
          <w:szCs w:val="24"/>
        </w:rPr>
        <w:tab/>
      </w:r>
      <w:r w:rsidRPr="006F3C10">
        <w:rPr>
          <w:rFonts w:ascii="Times New Roman" w:hAnsi="Times New Roman"/>
          <w:sz w:val="24"/>
          <w:szCs w:val="24"/>
        </w:rPr>
        <w:tab/>
        <w:t>Absent</w:t>
      </w:r>
    </w:p>
    <w:p w14:paraId="7F6082B9" w14:textId="77777777" w:rsidR="00D91E1A" w:rsidRPr="006F3C10" w:rsidRDefault="00DF61CA"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Positive</w:t>
      </w:r>
      <w:r>
        <w:rPr>
          <w:rFonts w:ascii="Times New Roman" w:hAnsi="Times New Roman"/>
          <w:sz w:val="24"/>
          <w:szCs w:val="24"/>
        </w:rPr>
        <w:tab/>
        <w:t>29</w:t>
      </w:r>
      <w:r w:rsidR="009F5E96">
        <w:rPr>
          <w:rFonts w:ascii="Times New Roman" w:hAnsi="Times New Roman"/>
          <w:sz w:val="24"/>
          <w:szCs w:val="24"/>
        </w:rPr>
        <w:t>0</w:t>
      </w:r>
      <w:r w:rsidR="0000189D">
        <w:rPr>
          <w:rFonts w:ascii="Times New Roman" w:hAnsi="Times New Roman"/>
          <w:sz w:val="24"/>
          <w:szCs w:val="24"/>
        </w:rPr>
        <w:tab/>
      </w:r>
      <w:r w:rsidR="0000189D">
        <w:rPr>
          <w:rFonts w:ascii="Times New Roman" w:hAnsi="Times New Roman"/>
          <w:sz w:val="24"/>
          <w:szCs w:val="24"/>
        </w:rPr>
        <w:tab/>
        <w:t>1</w:t>
      </w:r>
      <w:r w:rsidR="00D91E1A">
        <w:rPr>
          <w:rFonts w:ascii="Times New Roman" w:hAnsi="Times New Roman"/>
          <w:sz w:val="24"/>
          <w:szCs w:val="24"/>
        </w:rPr>
        <w:t>0</w:t>
      </w:r>
    </w:p>
    <w:p w14:paraId="3483F85B" w14:textId="77777777" w:rsidR="00D91E1A" w:rsidRPr="006F3C10" w:rsidRDefault="00DF61CA" w:rsidP="00D91E1A">
      <w:pPr>
        <w:autoSpaceDE w:val="0"/>
        <w:autoSpaceDN w:val="0"/>
        <w:adjustRightInd w:val="0"/>
        <w:spacing w:before="240" w:after="0" w:line="240" w:lineRule="auto"/>
        <w:ind w:left="1620"/>
        <w:contextualSpacing/>
        <w:rPr>
          <w:rFonts w:ascii="Times New Roman" w:hAnsi="Times New Roman"/>
          <w:sz w:val="24"/>
          <w:szCs w:val="24"/>
        </w:rPr>
      </w:pPr>
      <w:r>
        <w:rPr>
          <w:rFonts w:ascii="Times New Roman" w:hAnsi="Times New Roman"/>
          <w:sz w:val="24"/>
          <w:szCs w:val="24"/>
        </w:rPr>
        <w:t>Negative</w:t>
      </w:r>
      <w:r>
        <w:rPr>
          <w:rFonts w:ascii="Times New Roman" w:hAnsi="Times New Roman"/>
          <w:sz w:val="24"/>
          <w:szCs w:val="24"/>
        </w:rPr>
        <w:tab/>
        <w:t>1</w:t>
      </w:r>
      <w:r w:rsidR="009F5E96">
        <w:rPr>
          <w:rFonts w:ascii="Times New Roman" w:hAnsi="Times New Roman"/>
          <w:sz w:val="24"/>
          <w:szCs w:val="24"/>
        </w:rPr>
        <w:t>0</w:t>
      </w:r>
      <w:r w:rsidR="0000189D">
        <w:rPr>
          <w:rFonts w:ascii="Times New Roman" w:hAnsi="Times New Roman"/>
          <w:sz w:val="24"/>
          <w:szCs w:val="24"/>
        </w:rPr>
        <w:tab/>
      </w:r>
      <w:r w:rsidR="0000189D">
        <w:rPr>
          <w:rFonts w:ascii="Times New Roman" w:hAnsi="Times New Roman"/>
          <w:sz w:val="24"/>
          <w:szCs w:val="24"/>
        </w:rPr>
        <w:tab/>
        <w:t>19</w:t>
      </w:r>
      <w:r w:rsidR="00D91E1A">
        <w:rPr>
          <w:rFonts w:ascii="Times New Roman" w:hAnsi="Times New Roman"/>
          <w:sz w:val="24"/>
          <w:szCs w:val="24"/>
        </w:rPr>
        <w:t>0</w:t>
      </w:r>
    </w:p>
    <w:p w14:paraId="45DB8C5B" w14:textId="77777777" w:rsidR="00D91E1A" w:rsidRPr="00D91E1A" w:rsidRDefault="00D91E1A" w:rsidP="00D91E1A">
      <w:pPr>
        <w:numPr>
          <w:ilvl w:val="0"/>
          <w:numId w:val="1"/>
        </w:numPr>
        <w:autoSpaceDE w:val="0"/>
        <w:autoSpaceDN w:val="0"/>
        <w:adjustRightInd w:val="0"/>
        <w:spacing w:before="240" w:after="0" w:line="240" w:lineRule="auto"/>
        <w:contextualSpacing/>
        <w:rPr>
          <w:rFonts w:ascii="Times New Roman" w:hAnsi="Times New Roman"/>
          <w:sz w:val="24"/>
          <w:szCs w:val="24"/>
        </w:rPr>
      </w:pPr>
      <w:r w:rsidRPr="00D91E1A">
        <w:rPr>
          <w:rFonts w:ascii="Times New Roman" w:hAnsi="Times New Roman"/>
          <w:sz w:val="24"/>
          <w:szCs w:val="24"/>
        </w:rPr>
        <w:t>Compared with the physical examination, the audiometric test is:</w:t>
      </w:r>
    </w:p>
    <w:p w14:paraId="12A45BF9"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a.</w:t>
      </w:r>
      <w:r w:rsidRPr="006F3C10">
        <w:rPr>
          <w:rFonts w:ascii="Times New Roman" w:hAnsi="Times New Roman"/>
          <w:sz w:val="24"/>
          <w:szCs w:val="24"/>
        </w:rPr>
        <w:tab/>
        <w:t>Equally sensitive and specific</w:t>
      </w:r>
    </w:p>
    <w:p w14:paraId="46691BED"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b.</w:t>
      </w:r>
      <w:r w:rsidRPr="006F3C10">
        <w:rPr>
          <w:rFonts w:ascii="Times New Roman" w:hAnsi="Times New Roman"/>
          <w:sz w:val="24"/>
          <w:szCs w:val="24"/>
        </w:rPr>
        <w:tab/>
        <w:t>Less sensitive and less specific</w:t>
      </w:r>
    </w:p>
    <w:p w14:paraId="49611CFA"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c.</w:t>
      </w:r>
      <w:r w:rsidRPr="006F3C10">
        <w:rPr>
          <w:rFonts w:ascii="Times New Roman" w:hAnsi="Times New Roman"/>
          <w:sz w:val="24"/>
          <w:szCs w:val="24"/>
        </w:rPr>
        <w:tab/>
        <w:t>Less sensitive and more specific</w:t>
      </w:r>
    </w:p>
    <w:p w14:paraId="2DA18068" w14:textId="77777777" w:rsidR="00D91E1A" w:rsidRPr="006F3C10"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2C4EB0">
        <w:rPr>
          <w:rFonts w:ascii="Times New Roman" w:hAnsi="Times New Roman"/>
          <w:b/>
          <w:bCs/>
          <w:sz w:val="24"/>
          <w:szCs w:val="24"/>
          <w:highlight w:val="yellow"/>
        </w:rPr>
        <w:t>d.</w:t>
      </w:r>
      <w:r w:rsidRPr="002C4EB0">
        <w:rPr>
          <w:rFonts w:ascii="Times New Roman" w:hAnsi="Times New Roman"/>
          <w:sz w:val="24"/>
          <w:szCs w:val="24"/>
          <w:highlight w:val="yellow"/>
        </w:rPr>
        <w:tab/>
        <w:t>More sensitive and less specific</w:t>
      </w:r>
    </w:p>
    <w:p w14:paraId="27C7EA9A" w14:textId="77777777" w:rsidR="00D91E1A" w:rsidRDefault="00D91E1A" w:rsidP="00D91E1A">
      <w:pPr>
        <w:autoSpaceDE w:val="0"/>
        <w:autoSpaceDN w:val="0"/>
        <w:adjustRightInd w:val="0"/>
        <w:spacing w:before="240" w:after="0" w:line="240" w:lineRule="auto"/>
        <w:ind w:left="1080"/>
        <w:contextualSpacing/>
        <w:rPr>
          <w:rFonts w:ascii="Times New Roman" w:hAnsi="Times New Roman"/>
          <w:sz w:val="24"/>
          <w:szCs w:val="24"/>
        </w:rPr>
      </w:pPr>
      <w:r w:rsidRPr="006F3C10">
        <w:rPr>
          <w:rFonts w:ascii="Times New Roman" w:hAnsi="Times New Roman"/>
          <w:b/>
          <w:bCs/>
          <w:sz w:val="24"/>
          <w:szCs w:val="24"/>
        </w:rPr>
        <w:t>e.</w:t>
      </w:r>
      <w:r w:rsidRPr="006F3C10">
        <w:rPr>
          <w:rFonts w:ascii="Times New Roman" w:hAnsi="Times New Roman"/>
          <w:sz w:val="24"/>
          <w:szCs w:val="24"/>
        </w:rPr>
        <w:tab/>
        <w:t>More sensitive and more specific</w:t>
      </w:r>
    </w:p>
    <w:p w14:paraId="3B7FE119" w14:textId="77777777" w:rsidR="00A53B28" w:rsidRPr="006F3C10" w:rsidRDefault="00A53B28" w:rsidP="00D91E1A">
      <w:pPr>
        <w:autoSpaceDE w:val="0"/>
        <w:autoSpaceDN w:val="0"/>
        <w:adjustRightInd w:val="0"/>
        <w:spacing w:before="240" w:after="0" w:line="240" w:lineRule="auto"/>
        <w:ind w:left="1080"/>
        <w:contextualSpacing/>
        <w:rPr>
          <w:rFonts w:ascii="Times New Roman" w:hAnsi="Times New Roman"/>
          <w:sz w:val="24"/>
          <w:szCs w:val="24"/>
        </w:rPr>
      </w:pPr>
    </w:p>
    <w:p w14:paraId="33EB5D0A" w14:textId="77777777" w:rsidR="00A53B28" w:rsidRDefault="00A53B28" w:rsidP="00A53B28">
      <w:pPr>
        <w:pStyle w:val="ListParagraph"/>
        <w:numPr>
          <w:ilvl w:val="0"/>
          <w:numId w:val="1"/>
        </w:numPr>
      </w:pPr>
      <w:r>
        <w:t xml:space="preserve">For the figure below: describe and interpret the results in the figure. </w:t>
      </w:r>
    </w:p>
    <w:p w14:paraId="629F6686" w14:textId="77777777" w:rsidR="00EA68B6" w:rsidRDefault="00A53B28" w:rsidP="00EA68B6">
      <w:pPr>
        <w:rPr>
          <w:rStyle w:val="Strong"/>
        </w:rPr>
      </w:pPr>
      <w:r w:rsidRPr="00A53B28">
        <w:rPr>
          <w:noProof/>
        </w:rPr>
        <w:drawing>
          <wp:inline distT="0" distB="0" distL="0" distR="0" wp14:anchorId="57FAF921" wp14:editId="52344339">
            <wp:extent cx="4214539" cy="2000250"/>
            <wp:effectExtent l="0" t="0" r="0" b="0"/>
            <wp:docPr id="34819" name="Picture 2" descr="Cancer death rates are higher in men than in women for every racial and ethnic group.  African American men and women have higher rates of cancer mortality than their counterparts in every other racial and ethnic group.  Asian American and Pacific Islander men and women have the lowest cancer death rates, about half the rate of African American men and women, respectively. &#10;Note: Rates for populations other than white and African American may be affected by problems in ascertaining race/ethnicity from medical records, which likely results in underreported cancer death rat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9" name="Picture 2" descr="Cancer death rates are higher in men than in women for every racial and ethnic group.  African American men and women have higher rates of cancer mortality than their counterparts in every other racial and ethnic group.  Asian American and Pacific Islander men and women have the lowest cancer death rates, about half the rate of African American men and women, respectively. &#10;Note: Rates for populations other than white and African American may be affected by problems in ascertaining race/ethnicity from medical records, which likely results in underreported cancer death rates.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16249" cy="2001062"/>
                    </a:xfrm>
                    <a:prstGeom prst="rect">
                      <a:avLst/>
                    </a:prstGeom>
                    <a:noFill/>
                    <a:ln>
                      <a:noFill/>
                    </a:ln>
                  </pic:spPr>
                </pic:pic>
              </a:graphicData>
            </a:graphic>
          </wp:inline>
        </w:drawing>
      </w:r>
    </w:p>
    <w:p w14:paraId="79961218" w14:textId="1689BBCD" w:rsidR="00EA68B6" w:rsidRDefault="00EA68B6" w:rsidP="00EA68B6">
      <w:r>
        <w:rPr>
          <w:rStyle w:val="Strong"/>
        </w:rPr>
        <w:t xml:space="preserve">New estimates predict top cancers for </w:t>
      </w:r>
      <w:r>
        <w:rPr>
          <w:rStyle w:val="Strong"/>
        </w:rPr>
        <w:t>2005-2009</w:t>
      </w:r>
      <w:r>
        <w:rPr>
          <w:rStyle w:val="Strong"/>
        </w:rPr>
        <w:t>:</w:t>
      </w:r>
      <w:r>
        <w:t xml:space="preserve"> </w:t>
      </w:r>
      <w:r>
        <w:t>African American</w:t>
      </w:r>
      <w:r>
        <w:t xml:space="preserve">, </w:t>
      </w:r>
      <w:r>
        <w:t xml:space="preserve">White </w:t>
      </w:r>
      <w:r>
        <w:t xml:space="preserve">and </w:t>
      </w:r>
      <w:r>
        <w:t>American Indian</w:t>
      </w:r>
      <w:r>
        <w:t xml:space="preserve"> are the 3 most common cancers expected in women in </w:t>
      </w:r>
      <w:r>
        <w:t>2005-2009</w:t>
      </w:r>
      <w:r>
        <w:t xml:space="preserve">. And in men, </w:t>
      </w:r>
      <w:r w:rsidRPr="00EA68B6">
        <w:t>African American, White and American Indian</w:t>
      </w:r>
      <w:r>
        <w:t xml:space="preserve"> are expected to be the most common this year.</w:t>
      </w:r>
    </w:p>
    <w:p w14:paraId="7B3F8AC8" w14:textId="2AFA8370" w:rsidR="007538A8" w:rsidRDefault="007538A8" w:rsidP="00EA68B6">
      <w:pPr>
        <w:pStyle w:val="ListParagraph"/>
        <w:numPr>
          <w:ilvl w:val="0"/>
          <w:numId w:val="1"/>
        </w:numPr>
      </w:pPr>
      <w:r>
        <w:t xml:space="preserve">For the figure below: describe and interpret the results in the figure. </w:t>
      </w:r>
    </w:p>
    <w:p w14:paraId="4FBC0C79" w14:textId="77777777" w:rsidR="007538A8" w:rsidRDefault="007538A8">
      <w:r w:rsidRPr="007538A8">
        <w:rPr>
          <w:noProof/>
        </w:rPr>
        <w:lastRenderedPageBreak/>
        <w:drawing>
          <wp:inline distT="0" distB="0" distL="0" distR="0" wp14:anchorId="3A03D28D" wp14:editId="3FB133D4">
            <wp:extent cx="5414577" cy="3041650"/>
            <wp:effectExtent l="0" t="0" r="0" b="6350"/>
            <wp:docPr id="35843" name="Picture 2" descr="Although the overall cancer death rate continues to be higher in African American men than white men, from 2000 to 2009, the decline in death rates was larger for African American men (2.4% per year versus 1.7% per ye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3" name="Picture 2" descr="Although the overall cancer death rate continues to be higher in African American men than white men, from 2000 to 2009, the decline in death rates was larger for African American men (2.4% per year versus 1.7% per year).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8856" cy="3044054"/>
                    </a:xfrm>
                    <a:prstGeom prst="rect">
                      <a:avLst/>
                    </a:prstGeom>
                    <a:noFill/>
                    <a:ln>
                      <a:noFill/>
                    </a:ln>
                  </pic:spPr>
                </pic:pic>
              </a:graphicData>
            </a:graphic>
          </wp:inline>
        </w:drawing>
      </w:r>
    </w:p>
    <w:p w14:paraId="7FDE5604" w14:textId="77777777" w:rsidR="00EA68B6" w:rsidRDefault="00EA68B6" w:rsidP="00EA68B6">
      <w:pPr>
        <w:tabs>
          <w:tab w:val="left" w:pos="450"/>
        </w:tabs>
        <w:spacing w:after="0" w:line="240" w:lineRule="auto"/>
      </w:pPr>
      <w:r>
        <w:rPr>
          <w:rStyle w:val="Strong"/>
        </w:rPr>
        <w:t>Cancer death rates continue steady decline:</w:t>
      </w:r>
      <w:r>
        <w:t xml:space="preserve"> The cancer death rate for both men and women in the United States has been trending downward over the past two decades.</w:t>
      </w:r>
    </w:p>
    <w:p w14:paraId="2ABC2442" w14:textId="77777777" w:rsidR="00EA68B6" w:rsidRDefault="00EA68B6" w:rsidP="00EA68B6">
      <w:pPr>
        <w:tabs>
          <w:tab w:val="left" w:pos="450"/>
        </w:tabs>
        <w:spacing w:after="0" w:line="240" w:lineRule="auto"/>
      </w:pPr>
    </w:p>
    <w:p w14:paraId="71B18478" w14:textId="16884FA7" w:rsidR="002D0885" w:rsidRPr="00EA68B6" w:rsidRDefault="002D0885" w:rsidP="00EA68B6">
      <w:pPr>
        <w:pStyle w:val="ListParagraph"/>
        <w:numPr>
          <w:ilvl w:val="0"/>
          <w:numId w:val="1"/>
        </w:numPr>
        <w:tabs>
          <w:tab w:val="left" w:pos="450"/>
        </w:tabs>
        <w:spacing w:after="0" w:line="240" w:lineRule="auto"/>
        <w:rPr>
          <w:rFonts w:cstheme="minorHAnsi"/>
          <w:sz w:val="24"/>
          <w:szCs w:val="24"/>
        </w:rPr>
      </w:pPr>
      <w:r w:rsidRPr="00EA68B6">
        <w:rPr>
          <w:rFonts w:cstheme="minorHAnsi"/>
          <w:sz w:val="24"/>
          <w:szCs w:val="24"/>
        </w:rPr>
        <w:t>Complete the Table 1 (Table below) by calculating the polio incidence rates, disease-specific mortality rates, and case-fatality for each of the past five years.  Interpret the data and the trend over time.</w:t>
      </w:r>
    </w:p>
    <w:p w14:paraId="4233E502" w14:textId="77777777" w:rsidR="002D0885" w:rsidRPr="002D0885" w:rsidRDefault="002D0885" w:rsidP="002D0885">
      <w:pPr>
        <w:tabs>
          <w:tab w:val="left" w:pos="450"/>
        </w:tabs>
        <w:spacing w:after="0" w:line="240" w:lineRule="auto"/>
        <w:ind w:left="360"/>
        <w:rPr>
          <w:rFonts w:cstheme="minorHAnsi"/>
          <w:sz w:val="24"/>
          <w:szCs w:val="24"/>
        </w:rPr>
      </w:pPr>
      <w:r w:rsidRPr="002D0885">
        <w:rPr>
          <w:rFonts w:cstheme="minorHAnsi"/>
          <w:sz w:val="24"/>
          <w:szCs w:val="24"/>
        </w:rPr>
        <w:t xml:space="preserve"> </w:t>
      </w:r>
    </w:p>
    <w:p w14:paraId="5BE5497A" w14:textId="77777777" w:rsidR="002D0885" w:rsidRDefault="002D0885" w:rsidP="002D0885">
      <w:pPr>
        <w:spacing w:after="0" w:line="240" w:lineRule="auto"/>
      </w:pPr>
      <w:r>
        <w:t>Table 1:</w:t>
      </w:r>
    </w:p>
    <w:tbl>
      <w:tblPr>
        <w:tblW w:w="9075" w:type="dxa"/>
        <w:tblLook w:val="04A0" w:firstRow="1" w:lastRow="0" w:firstColumn="1" w:lastColumn="0" w:noHBand="0" w:noVBand="1"/>
      </w:tblPr>
      <w:tblGrid>
        <w:gridCol w:w="912"/>
        <w:gridCol w:w="926"/>
        <w:gridCol w:w="1063"/>
        <w:gridCol w:w="1257"/>
        <w:gridCol w:w="1524"/>
        <w:gridCol w:w="1410"/>
        <w:gridCol w:w="1983"/>
      </w:tblGrid>
      <w:tr w:rsidR="002D0885" w:rsidRPr="004D7093" w14:paraId="57596C9F" w14:textId="77777777" w:rsidTr="00132F9B">
        <w:trPr>
          <w:trHeight w:val="528"/>
        </w:trPr>
        <w:tc>
          <w:tcPr>
            <w:tcW w:w="912" w:type="dxa"/>
            <w:tcBorders>
              <w:top w:val="single" w:sz="4" w:space="0" w:color="auto"/>
              <w:left w:val="single" w:sz="4" w:space="0" w:color="auto"/>
              <w:bottom w:val="single" w:sz="4" w:space="0" w:color="auto"/>
              <w:right w:val="single" w:sz="4" w:space="0" w:color="auto"/>
            </w:tcBorders>
            <w:shd w:val="clear" w:color="000000" w:fill="FFFFFF"/>
            <w:hideMark/>
          </w:tcPr>
          <w:p w14:paraId="0640BFAA" w14:textId="77777777" w:rsidR="002D0885" w:rsidRPr="004D7093" w:rsidRDefault="002D0885" w:rsidP="00132F9B">
            <w:r w:rsidRPr="004D7093">
              <w:t> </w:t>
            </w:r>
          </w:p>
        </w:tc>
        <w:tc>
          <w:tcPr>
            <w:tcW w:w="926" w:type="dxa"/>
            <w:tcBorders>
              <w:top w:val="single" w:sz="4" w:space="0" w:color="auto"/>
              <w:left w:val="nil"/>
              <w:bottom w:val="single" w:sz="4" w:space="0" w:color="auto"/>
              <w:right w:val="single" w:sz="4" w:space="0" w:color="auto"/>
            </w:tcBorders>
            <w:shd w:val="clear" w:color="000000" w:fill="FFFFFF"/>
            <w:hideMark/>
          </w:tcPr>
          <w:p w14:paraId="7D059746" w14:textId="77777777" w:rsidR="002D0885" w:rsidRPr="004D7093" w:rsidRDefault="002D0885" w:rsidP="00132F9B">
            <w:pPr>
              <w:rPr>
                <w:color w:val="000000"/>
              </w:rPr>
            </w:pPr>
            <w:r w:rsidRPr="004D7093">
              <w:rPr>
                <w:color w:val="000000"/>
              </w:rPr>
              <w:t># New</w:t>
            </w:r>
          </w:p>
        </w:tc>
        <w:tc>
          <w:tcPr>
            <w:tcW w:w="1063" w:type="dxa"/>
            <w:tcBorders>
              <w:top w:val="single" w:sz="4" w:space="0" w:color="auto"/>
              <w:left w:val="nil"/>
              <w:bottom w:val="single" w:sz="4" w:space="0" w:color="auto"/>
              <w:right w:val="single" w:sz="4" w:space="0" w:color="auto"/>
            </w:tcBorders>
            <w:shd w:val="clear" w:color="000000" w:fill="FFFFFF"/>
            <w:hideMark/>
          </w:tcPr>
          <w:p w14:paraId="5A895350" w14:textId="77777777" w:rsidR="002D0885" w:rsidRPr="004D7093" w:rsidRDefault="002D0885" w:rsidP="00132F9B">
            <w:r w:rsidRPr="004D7093">
              <w:t> </w:t>
            </w:r>
          </w:p>
        </w:tc>
        <w:tc>
          <w:tcPr>
            <w:tcW w:w="1257" w:type="dxa"/>
            <w:tcBorders>
              <w:top w:val="single" w:sz="4" w:space="0" w:color="auto"/>
              <w:left w:val="nil"/>
              <w:bottom w:val="single" w:sz="4" w:space="0" w:color="auto"/>
              <w:right w:val="single" w:sz="4" w:space="0" w:color="auto"/>
            </w:tcBorders>
            <w:shd w:val="clear" w:color="000000" w:fill="FFFFFF"/>
            <w:hideMark/>
          </w:tcPr>
          <w:p w14:paraId="614DF9B4" w14:textId="77777777" w:rsidR="002D0885" w:rsidRPr="004D7093" w:rsidRDefault="002D0885" w:rsidP="00132F9B">
            <w:pPr>
              <w:rPr>
                <w:color w:val="000000"/>
              </w:rPr>
            </w:pPr>
            <w:r w:rsidRPr="004D7093">
              <w:rPr>
                <w:color w:val="000000"/>
              </w:rPr>
              <w:t>Midyear</w:t>
            </w:r>
          </w:p>
        </w:tc>
        <w:tc>
          <w:tcPr>
            <w:tcW w:w="1524" w:type="dxa"/>
            <w:tcBorders>
              <w:top w:val="single" w:sz="4" w:space="0" w:color="auto"/>
              <w:left w:val="nil"/>
              <w:bottom w:val="single" w:sz="4" w:space="0" w:color="auto"/>
              <w:right w:val="single" w:sz="4" w:space="0" w:color="auto"/>
            </w:tcBorders>
            <w:shd w:val="clear" w:color="000000" w:fill="FFFFFF"/>
            <w:hideMark/>
          </w:tcPr>
          <w:p w14:paraId="07715FD6" w14:textId="77777777" w:rsidR="002D0885" w:rsidRPr="004D7093" w:rsidRDefault="002D0885" w:rsidP="00132F9B">
            <w:pPr>
              <w:rPr>
                <w:color w:val="000000"/>
              </w:rPr>
            </w:pPr>
            <w:r w:rsidRPr="004D7093">
              <w:rPr>
                <w:color w:val="000000"/>
              </w:rPr>
              <w:t>Incidence</w:t>
            </w:r>
          </w:p>
        </w:tc>
        <w:tc>
          <w:tcPr>
            <w:tcW w:w="1410" w:type="dxa"/>
            <w:tcBorders>
              <w:top w:val="single" w:sz="4" w:space="0" w:color="auto"/>
              <w:left w:val="nil"/>
              <w:bottom w:val="single" w:sz="4" w:space="0" w:color="auto"/>
              <w:right w:val="single" w:sz="4" w:space="0" w:color="auto"/>
            </w:tcBorders>
            <w:shd w:val="clear" w:color="000000" w:fill="FFFFFF"/>
            <w:hideMark/>
          </w:tcPr>
          <w:p w14:paraId="2376485F" w14:textId="77777777" w:rsidR="002D0885" w:rsidRPr="004D7093" w:rsidRDefault="002D0885" w:rsidP="00132F9B">
            <w:pPr>
              <w:rPr>
                <w:color w:val="000000"/>
              </w:rPr>
            </w:pPr>
            <w:r w:rsidRPr="004D7093">
              <w:rPr>
                <w:color w:val="000000"/>
              </w:rPr>
              <w:t>Mortality</w:t>
            </w:r>
          </w:p>
        </w:tc>
        <w:tc>
          <w:tcPr>
            <w:tcW w:w="1983" w:type="dxa"/>
            <w:tcBorders>
              <w:top w:val="single" w:sz="4" w:space="0" w:color="auto"/>
              <w:left w:val="nil"/>
              <w:bottom w:val="single" w:sz="4" w:space="0" w:color="auto"/>
              <w:right w:val="single" w:sz="4" w:space="0" w:color="auto"/>
            </w:tcBorders>
            <w:shd w:val="clear" w:color="000000" w:fill="FFFFFF"/>
            <w:hideMark/>
          </w:tcPr>
          <w:p w14:paraId="0BC31DC3" w14:textId="77777777" w:rsidR="002D0885" w:rsidRPr="004D7093" w:rsidRDefault="002D0885" w:rsidP="00132F9B">
            <w:pPr>
              <w:rPr>
                <w:color w:val="000000"/>
              </w:rPr>
            </w:pPr>
            <w:r w:rsidRPr="004D7093">
              <w:rPr>
                <w:color w:val="000000"/>
              </w:rPr>
              <w:t>Case-fatality</w:t>
            </w:r>
          </w:p>
        </w:tc>
      </w:tr>
      <w:tr w:rsidR="002D0885" w:rsidRPr="003216FF" w14:paraId="69ACD3C2" w14:textId="77777777" w:rsidTr="00132F9B">
        <w:trPr>
          <w:trHeight w:val="288"/>
        </w:trPr>
        <w:tc>
          <w:tcPr>
            <w:tcW w:w="912" w:type="dxa"/>
            <w:tcBorders>
              <w:top w:val="nil"/>
              <w:left w:val="single" w:sz="4" w:space="0" w:color="auto"/>
              <w:bottom w:val="single" w:sz="4" w:space="0" w:color="auto"/>
              <w:right w:val="single" w:sz="4" w:space="0" w:color="auto"/>
            </w:tcBorders>
            <w:shd w:val="clear" w:color="000000" w:fill="FFFFFF"/>
            <w:hideMark/>
          </w:tcPr>
          <w:p w14:paraId="1CA9051A" w14:textId="77777777" w:rsidR="002D0885" w:rsidRPr="003216FF" w:rsidRDefault="002D0885" w:rsidP="00132F9B">
            <w:pPr>
              <w:rPr>
                <w:color w:val="000000"/>
              </w:rPr>
            </w:pPr>
            <w:r w:rsidRPr="003216FF">
              <w:rPr>
                <w:color w:val="000000"/>
              </w:rPr>
              <w:t>Year</w:t>
            </w:r>
          </w:p>
        </w:tc>
        <w:tc>
          <w:tcPr>
            <w:tcW w:w="926" w:type="dxa"/>
            <w:tcBorders>
              <w:top w:val="nil"/>
              <w:left w:val="nil"/>
              <w:bottom w:val="single" w:sz="4" w:space="0" w:color="auto"/>
              <w:right w:val="single" w:sz="4" w:space="0" w:color="auto"/>
            </w:tcBorders>
            <w:shd w:val="clear" w:color="000000" w:fill="FFFFFF"/>
            <w:hideMark/>
          </w:tcPr>
          <w:p w14:paraId="1B357B28" w14:textId="77777777" w:rsidR="002D0885" w:rsidRPr="003216FF" w:rsidRDefault="002D0885" w:rsidP="00132F9B">
            <w:pPr>
              <w:rPr>
                <w:color w:val="000000"/>
              </w:rPr>
            </w:pPr>
            <w:r w:rsidRPr="003216FF">
              <w:rPr>
                <w:color w:val="000000"/>
              </w:rPr>
              <w:t>Cases</w:t>
            </w:r>
          </w:p>
        </w:tc>
        <w:tc>
          <w:tcPr>
            <w:tcW w:w="1063" w:type="dxa"/>
            <w:tcBorders>
              <w:top w:val="nil"/>
              <w:left w:val="nil"/>
              <w:bottom w:val="single" w:sz="4" w:space="0" w:color="auto"/>
              <w:right w:val="single" w:sz="4" w:space="0" w:color="auto"/>
            </w:tcBorders>
            <w:shd w:val="clear" w:color="000000" w:fill="FFFFFF"/>
            <w:hideMark/>
          </w:tcPr>
          <w:p w14:paraId="6DC276A9" w14:textId="77777777" w:rsidR="002D0885" w:rsidRPr="003216FF" w:rsidRDefault="002D0885" w:rsidP="00132F9B">
            <w:pPr>
              <w:rPr>
                <w:color w:val="000000"/>
              </w:rPr>
            </w:pPr>
            <w:r w:rsidRPr="003216FF">
              <w:rPr>
                <w:color w:val="000000"/>
              </w:rPr>
              <w:t># Deaths</w:t>
            </w:r>
          </w:p>
        </w:tc>
        <w:tc>
          <w:tcPr>
            <w:tcW w:w="1257" w:type="dxa"/>
            <w:tcBorders>
              <w:top w:val="nil"/>
              <w:left w:val="nil"/>
              <w:bottom w:val="single" w:sz="4" w:space="0" w:color="auto"/>
              <w:right w:val="single" w:sz="4" w:space="0" w:color="auto"/>
            </w:tcBorders>
            <w:shd w:val="clear" w:color="000000" w:fill="FFFFFF"/>
            <w:hideMark/>
          </w:tcPr>
          <w:p w14:paraId="584F1606" w14:textId="77777777" w:rsidR="002D0885" w:rsidRPr="003216FF" w:rsidRDefault="002D0885" w:rsidP="00132F9B">
            <w:pPr>
              <w:rPr>
                <w:color w:val="000000"/>
              </w:rPr>
            </w:pPr>
            <w:r w:rsidRPr="003216FF">
              <w:rPr>
                <w:color w:val="000000"/>
              </w:rPr>
              <w:t>Population</w:t>
            </w:r>
          </w:p>
        </w:tc>
        <w:tc>
          <w:tcPr>
            <w:tcW w:w="1524" w:type="dxa"/>
            <w:tcBorders>
              <w:top w:val="nil"/>
              <w:left w:val="nil"/>
              <w:bottom w:val="single" w:sz="4" w:space="0" w:color="auto"/>
              <w:right w:val="single" w:sz="4" w:space="0" w:color="auto"/>
            </w:tcBorders>
            <w:shd w:val="clear" w:color="000000" w:fill="FFFFFF"/>
            <w:hideMark/>
          </w:tcPr>
          <w:p w14:paraId="6D0CBBEB" w14:textId="77777777" w:rsidR="002D0885" w:rsidRPr="003216FF" w:rsidRDefault="002D0885" w:rsidP="00132F9B">
            <w:pPr>
              <w:rPr>
                <w:color w:val="000000"/>
              </w:rPr>
            </w:pPr>
            <w:r w:rsidRPr="003216FF">
              <w:rPr>
                <w:color w:val="000000"/>
              </w:rPr>
              <w:t>per 100,000</w:t>
            </w:r>
          </w:p>
        </w:tc>
        <w:tc>
          <w:tcPr>
            <w:tcW w:w="1410" w:type="dxa"/>
            <w:tcBorders>
              <w:top w:val="nil"/>
              <w:left w:val="nil"/>
              <w:bottom w:val="single" w:sz="4" w:space="0" w:color="auto"/>
              <w:right w:val="single" w:sz="4" w:space="0" w:color="auto"/>
            </w:tcBorders>
            <w:shd w:val="clear" w:color="000000" w:fill="FFFFFF"/>
            <w:hideMark/>
          </w:tcPr>
          <w:p w14:paraId="1C921B1D" w14:textId="77777777" w:rsidR="002D0885" w:rsidRPr="003216FF" w:rsidRDefault="002D0885" w:rsidP="00132F9B">
            <w:pPr>
              <w:rPr>
                <w:color w:val="000000"/>
              </w:rPr>
            </w:pPr>
            <w:r w:rsidRPr="003216FF">
              <w:rPr>
                <w:color w:val="000000"/>
              </w:rPr>
              <w:t>per 100,000</w:t>
            </w:r>
          </w:p>
        </w:tc>
        <w:tc>
          <w:tcPr>
            <w:tcW w:w="1983" w:type="dxa"/>
            <w:tcBorders>
              <w:top w:val="nil"/>
              <w:left w:val="nil"/>
              <w:bottom w:val="single" w:sz="4" w:space="0" w:color="auto"/>
              <w:right w:val="single" w:sz="4" w:space="0" w:color="auto"/>
            </w:tcBorders>
            <w:shd w:val="clear" w:color="000000" w:fill="FFFFFF"/>
            <w:hideMark/>
          </w:tcPr>
          <w:p w14:paraId="2C26DB03" w14:textId="77777777" w:rsidR="002D0885" w:rsidRPr="003216FF" w:rsidRDefault="002D0885" w:rsidP="00132F9B">
            <w:pPr>
              <w:rPr>
                <w:color w:val="000000"/>
              </w:rPr>
            </w:pPr>
            <w:r w:rsidRPr="003216FF">
              <w:rPr>
                <w:color w:val="000000"/>
              </w:rPr>
              <w:t> (%)</w:t>
            </w:r>
          </w:p>
        </w:tc>
      </w:tr>
      <w:tr w:rsidR="002D0885" w:rsidRPr="004D7093" w14:paraId="2C1AAD9F" w14:textId="77777777" w:rsidTr="00132F9B">
        <w:trPr>
          <w:trHeight w:val="288"/>
        </w:trPr>
        <w:tc>
          <w:tcPr>
            <w:tcW w:w="912" w:type="dxa"/>
            <w:tcBorders>
              <w:top w:val="nil"/>
              <w:left w:val="single" w:sz="4" w:space="0" w:color="auto"/>
              <w:bottom w:val="single" w:sz="4" w:space="0" w:color="auto"/>
              <w:right w:val="single" w:sz="4" w:space="0" w:color="auto"/>
            </w:tcBorders>
            <w:shd w:val="clear" w:color="000000" w:fill="FFFFFF"/>
            <w:hideMark/>
          </w:tcPr>
          <w:p w14:paraId="2644B93B" w14:textId="77777777" w:rsidR="002D0885" w:rsidRPr="004D7093" w:rsidRDefault="002D0885" w:rsidP="00132F9B">
            <w:pPr>
              <w:rPr>
                <w:color w:val="000000"/>
              </w:rPr>
            </w:pPr>
            <w:r w:rsidRPr="004D7093">
              <w:rPr>
                <w:color w:val="000000"/>
              </w:rPr>
              <w:t>1986</w:t>
            </w:r>
          </w:p>
        </w:tc>
        <w:tc>
          <w:tcPr>
            <w:tcW w:w="926" w:type="dxa"/>
            <w:tcBorders>
              <w:top w:val="nil"/>
              <w:left w:val="nil"/>
              <w:bottom w:val="single" w:sz="4" w:space="0" w:color="auto"/>
              <w:right w:val="single" w:sz="4" w:space="0" w:color="auto"/>
            </w:tcBorders>
            <w:shd w:val="clear" w:color="000000" w:fill="FFFFFF"/>
            <w:hideMark/>
          </w:tcPr>
          <w:p w14:paraId="3582DAA9" w14:textId="77777777" w:rsidR="002D0885" w:rsidRPr="004D7093" w:rsidRDefault="002D0885" w:rsidP="00132F9B">
            <w:pPr>
              <w:rPr>
                <w:color w:val="000000"/>
              </w:rPr>
            </w:pPr>
            <w:r>
              <w:rPr>
                <w:color w:val="000000"/>
              </w:rPr>
              <w:t>55</w:t>
            </w:r>
          </w:p>
        </w:tc>
        <w:tc>
          <w:tcPr>
            <w:tcW w:w="1063" w:type="dxa"/>
            <w:tcBorders>
              <w:top w:val="nil"/>
              <w:left w:val="nil"/>
              <w:bottom w:val="single" w:sz="4" w:space="0" w:color="auto"/>
              <w:right w:val="single" w:sz="4" w:space="0" w:color="auto"/>
            </w:tcBorders>
            <w:shd w:val="clear" w:color="000000" w:fill="FFFFFF"/>
            <w:hideMark/>
          </w:tcPr>
          <w:p w14:paraId="780B5125" w14:textId="77777777" w:rsidR="002D0885" w:rsidRPr="004D7093" w:rsidRDefault="002D0885" w:rsidP="00132F9B">
            <w:pPr>
              <w:jc w:val="center"/>
              <w:rPr>
                <w:color w:val="000000"/>
              </w:rPr>
            </w:pPr>
            <w:r>
              <w:rPr>
                <w:color w:val="000000"/>
              </w:rPr>
              <w:t>4</w:t>
            </w:r>
          </w:p>
        </w:tc>
        <w:tc>
          <w:tcPr>
            <w:tcW w:w="1257" w:type="dxa"/>
            <w:tcBorders>
              <w:top w:val="nil"/>
              <w:left w:val="nil"/>
              <w:bottom w:val="single" w:sz="4" w:space="0" w:color="auto"/>
              <w:right w:val="single" w:sz="4" w:space="0" w:color="auto"/>
            </w:tcBorders>
            <w:shd w:val="clear" w:color="000000" w:fill="FFFFFF"/>
            <w:hideMark/>
          </w:tcPr>
          <w:p w14:paraId="6534EAC8" w14:textId="77777777" w:rsidR="002D0885" w:rsidRPr="004D7093" w:rsidRDefault="002D0885" w:rsidP="00132F9B">
            <w:pPr>
              <w:rPr>
                <w:color w:val="000000"/>
              </w:rPr>
            </w:pPr>
            <w:r w:rsidRPr="004D7093">
              <w:rPr>
                <w:color w:val="000000"/>
              </w:rPr>
              <w:t>360,000</w:t>
            </w:r>
          </w:p>
        </w:tc>
        <w:tc>
          <w:tcPr>
            <w:tcW w:w="1524" w:type="dxa"/>
            <w:tcBorders>
              <w:top w:val="nil"/>
              <w:left w:val="nil"/>
              <w:bottom w:val="single" w:sz="4" w:space="0" w:color="auto"/>
              <w:right w:val="single" w:sz="4" w:space="0" w:color="auto"/>
            </w:tcBorders>
            <w:shd w:val="clear" w:color="000000" w:fill="FFFFFF"/>
          </w:tcPr>
          <w:p w14:paraId="3A1FDBB0" w14:textId="77777777" w:rsidR="002D0885" w:rsidRPr="004D7093" w:rsidRDefault="002D0885" w:rsidP="00132F9B">
            <w:pPr>
              <w:jc w:val="center"/>
              <w:rPr>
                <w:color w:val="000000"/>
                <w:highlight w:val="yellow"/>
              </w:rPr>
            </w:pPr>
          </w:p>
        </w:tc>
        <w:tc>
          <w:tcPr>
            <w:tcW w:w="1410" w:type="dxa"/>
            <w:tcBorders>
              <w:top w:val="nil"/>
              <w:left w:val="nil"/>
              <w:bottom w:val="single" w:sz="4" w:space="0" w:color="auto"/>
              <w:right w:val="single" w:sz="4" w:space="0" w:color="auto"/>
            </w:tcBorders>
            <w:shd w:val="clear" w:color="000000" w:fill="FFFFFF"/>
          </w:tcPr>
          <w:p w14:paraId="733BD164" w14:textId="77777777" w:rsidR="002D0885" w:rsidRPr="004D7093" w:rsidRDefault="002D0885" w:rsidP="00132F9B">
            <w:pPr>
              <w:jc w:val="center"/>
              <w:rPr>
                <w:color w:val="000000"/>
                <w:highlight w:val="yellow"/>
              </w:rPr>
            </w:pPr>
          </w:p>
        </w:tc>
        <w:tc>
          <w:tcPr>
            <w:tcW w:w="1983" w:type="dxa"/>
            <w:tcBorders>
              <w:top w:val="nil"/>
              <w:left w:val="nil"/>
              <w:bottom w:val="single" w:sz="4" w:space="0" w:color="auto"/>
              <w:right w:val="single" w:sz="4" w:space="0" w:color="auto"/>
            </w:tcBorders>
            <w:shd w:val="clear" w:color="000000" w:fill="FFFFFF"/>
          </w:tcPr>
          <w:p w14:paraId="58DCDD17" w14:textId="77777777" w:rsidR="002D0885" w:rsidRPr="004D7093" w:rsidRDefault="002D0885" w:rsidP="00132F9B">
            <w:pPr>
              <w:jc w:val="center"/>
              <w:rPr>
                <w:color w:val="000000"/>
                <w:highlight w:val="yellow"/>
              </w:rPr>
            </w:pPr>
          </w:p>
        </w:tc>
      </w:tr>
      <w:tr w:rsidR="002D0885" w:rsidRPr="004D7093" w14:paraId="0E9FBB2B" w14:textId="77777777" w:rsidTr="00132F9B">
        <w:trPr>
          <w:trHeight w:val="288"/>
        </w:trPr>
        <w:tc>
          <w:tcPr>
            <w:tcW w:w="912" w:type="dxa"/>
            <w:tcBorders>
              <w:top w:val="nil"/>
              <w:left w:val="single" w:sz="4" w:space="0" w:color="auto"/>
              <w:bottom w:val="single" w:sz="4" w:space="0" w:color="auto"/>
              <w:right w:val="single" w:sz="4" w:space="0" w:color="auto"/>
            </w:tcBorders>
            <w:shd w:val="clear" w:color="000000" w:fill="FFFFFF"/>
            <w:hideMark/>
          </w:tcPr>
          <w:p w14:paraId="168386AE" w14:textId="77777777" w:rsidR="002D0885" w:rsidRPr="004D7093" w:rsidRDefault="002D0885" w:rsidP="00132F9B">
            <w:pPr>
              <w:rPr>
                <w:color w:val="000000"/>
              </w:rPr>
            </w:pPr>
            <w:r w:rsidRPr="004D7093">
              <w:rPr>
                <w:color w:val="000000"/>
              </w:rPr>
              <w:t>1987</w:t>
            </w:r>
          </w:p>
        </w:tc>
        <w:tc>
          <w:tcPr>
            <w:tcW w:w="926" w:type="dxa"/>
            <w:tcBorders>
              <w:top w:val="nil"/>
              <w:left w:val="nil"/>
              <w:bottom w:val="single" w:sz="4" w:space="0" w:color="auto"/>
              <w:right w:val="single" w:sz="4" w:space="0" w:color="auto"/>
            </w:tcBorders>
            <w:shd w:val="clear" w:color="000000" w:fill="FFFFFF"/>
            <w:hideMark/>
          </w:tcPr>
          <w:p w14:paraId="4ED2737D" w14:textId="77777777" w:rsidR="002D0885" w:rsidRPr="004D7093" w:rsidRDefault="002D0885" w:rsidP="00132F9B">
            <w:pPr>
              <w:rPr>
                <w:color w:val="000000"/>
              </w:rPr>
            </w:pPr>
            <w:r>
              <w:rPr>
                <w:color w:val="000000"/>
              </w:rPr>
              <w:t>58</w:t>
            </w:r>
          </w:p>
        </w:tc>
        <w:tc>
          <w:tcPr>
            <w:tcW w:w="1063" w:type="dxa"/>
            <w:tcBorders>
              <w:top w:val="nil"/>
              <w:left w:val="nil"/>
              <w:bottom w:val="single" w:sz="4" w:space="0" w:color="auto"/>
              <w:right w:val="single" w:sz="4" w:space="0" w:color="auto"/>
            </w:tcBorders>
            <w:shd w:val="clear" w:color="000000" w:fill="FFFFFF"/>
            <w:hideMark/>
          </w:tcPr>
          <w:p w14:paraId="7AA557AD" w14:textId="77777777" w:rsidR="002D0885" w:rsidRPr="004D7093" w:rsidRDefault="002D0885" w:rsidP="00132F9B">
            <w:pPr>
              <w:jc w:val="center"/>
              <w:rPr>
                <w:color w:val="000000"/>
              </w:rPr>
            </w:pPr>
            <w:r>
              <w:rPr>
                <w:color w:val="000000"/>
              </w:rPr>
              <w:t>9</w:t>
            </w:r>
          </w:p>
        </w:tc>
        <w:tc>
          <w:tcPr>
            <w:tcW w:w="1257" w:type="dxa"/>
            <w:tcBorders>
              <w:top w:val="nil"/>
              <w:left w:val="nil"/>
              <w:bottom w:val="single" w:sz="4" w:space="0" w:color="auto"/>
              <w:right w:val="single" w:sz="4" w:space="0" w:color="auto"/>
            </w:tcBorders>
            <w:shd w:val="clear" w:color="000000" w:fill="FFFFFF"/>
            <w:hideMark/>
          </w:tcPr>
          <w:p w14:paraId="34217CD0" w14:textId="77777777" w:rsidR="002D0885" w:rsidRPr="004D7093" w:rsidRDefault="002D0885" w:rsidP="00132F9B">
            <w:pPr>
              <w:rPr>
                <w:color w:val="000000"/>
              </w:rPr>
            </w:pPr>
            <w:r w:rsidRPr="004D7093">
              <w:rPr>
                <w:color w:val="000000"/>
              </w:rPr>
              <w:t>373,680</w:t>
            </w:r>
          </w:p>
        </w:tc>
        <w:tc>
          <w:tcPr>
            <w:tcW w:w="1524" w:type="dxa"/>
            <w:tcBorders>
              <w:top w:val="nil"/>
              <w:left w:val="nil"/>
              <w:bottom w:val="single" w:sz="4" w:space="0" w:color="auto"/>
              <w:right w:val="single" w:sz="4" w:space="0" w:color="auto"/>
            </w:tcBorders>
            <w:shd w:val="clear" w:color="000000" w:fill="FFFFFF"/>
          </w:tcPr>
          <w:p w14:paraId="03BDFFDF" w14:textId="77777777" w:rsidR="002D0885" w:rsidRPr="004D7093" w:rsidRDefault="002D0885" w:rsidP="00132F9B">
            <w:pPr>
              <w:jc w:val="center"/>
              <w:rPr>
                <w:color w:val="000000"/>
                <w:highlight w:val="yellow"/>
              </w:rPr>
            </w:pPr>
          </w:p>
        </w:tc>
        <w:tc>
          <w:tcPr>
            <w:tcW w:w="1410" w:type="dxa"/>
            <w:tcBorders>
              <w:top w:val="nil"/>
              <w:left w:val="nil"/>
              <w:bottom w:val="single" w:sz="4" w:space="0" w:color="auto"/>
              <w:right w:val="single" w:sz="4" w:space="0" w:color="auto"/>
            </w:tcBorders>
            <w:shd w:val="clear" w:color="000000" w:fill="FFFFFF"/>
          </w:tcPr>
          <w:p w14:paraId="2B0DCC5B" w14:textId="77777777" w:rsidR="002D0885" w:rsidRPr="004D7093" w:rsidRDefault="002D0885" w:rsidP="00132F9B">
            <w:pPr>
              <w:jc w:val="center"/>
              <w:rPr>
                <w:color w:val="000000"/>
                <w:highlight w:val="yellow"/>
              </w:rPr>
            </w:pPr>
          </w:p>
        </w:tc>
        <w:tc>
          <w:tcPr>
            <w:tcW w:w="1983" w:type="dxa"/>
            <w:tcBorders>
              <w:top w:val="nil"/>
              <w:left w:val="nil"/>
              <w:bottom w:val="single" w:sz="4" w:space="0" w:color="auto"/>
              <w:right w:val="single" w:sz="4" w:space="0" w:color="auto"/>
            </w:tcBorders>
            <w:shd w:val="clear" w:color="000000" w:fill="FFFFFF"/>
          </w:tcPr>
          <w:p w14:paraId="4B657754" w14:textId="77777777" w:rsidR="002D0885" w:rsidRPr="004D7093" w:rsidRDefault="002D0885" w:rsidP="00132F9B">
            <w:pPr>
              <w:rPr>
                <w:color w:val="000000"/>
                <w:highlight w:val="yellow"/>
              </w:rPr>
            </w:pPr>
          </w:p>
        </w:tc>
      </w:tr>
    </w:tbl>
    <w:p w14:paraId="20DC1872" w14:textId="0752040F" w:rsidR="002D0885" w:rsidRDefault="002D0885" w:rsidP="002D0885"/>
    <w:p w14:paraId="707261E7" w14:textId="509C1CC6" w:rsidR="009D61E7" w:rsidRDefault="009D61E7" w:rsidP="002D0885">
      <w:r>
        <w:rPr>
          <w:noProof/>
        </w:rPr>
        <w:lastRenderedPageBreak/>
        <w:drawing>
          <wp:inline distT="0" distB="0" distL="0" distR="0" wp14:anchorId="56E5E65C" wp14:editId="2C3D8ECD">
            <wp:extent cx="5943600" cy="22028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202815"/>
                    </a:xfrm>
                    <a:prstGeom prst="rect">
                      <a:avLst/>
                    </a:prstGeom>
                  </pic:spPr>
                </pic:pic>
              </a:graphicData>
            </a:graphic>
          </wp:inline>
        </w:drawing>
      </w:r>
    </w:p>
    <w:p w14:paraId="1008AAA7" w14:textId="732575E3" w:rsidR="009D61E7" w:rsidRDefault="009D61E7" w:rsidP="002D0885">
      <w:r>
        <w:rPr>
          <w:rStyle w:val="t"/>
        </w:rPr>
        <w:t>Add .038 each time on midyear population 54/360,000x100,000. 5/360,000x100,000. 5/54x100</w:t>
      </w:r>
    </w:p>
    <w:p w14:paraId="36A28D41" w14:textId="77777777" w:rsidR="00DF61CA" w:rsidRPr="00374175" w:rsidRDefault="00DF61CA" w:rsidP="00DF61CA">
      <w:pPr>
        <w:pStyle w:val="NormalText"/>
        <w:numPr>
          <w:ilvl w:val="0"/>
          <w:numId w:val="1"/>
        </w:numPr>
        <w:ind w:left="810"/>
        <w:rPr>
          <w:rFonts w:ascii="Times New Roman" w:hAnsi="Times New Roman" w:cs="Times New Roman"/>
          <w:sz w:val="24"/>
          <w:szCs w:val="24"/>
        </w:rPr>
      </w:pPr>
      <w:r w:rsidRPr="00374175">
        <w:rPr>
          <w:rFonts w:ascii="Times New Roman" w:hAnsi="Times New Roman" w:cs="Times New Roman"/>
          <w:sz w:val="24"/>
          <w:szCs w:val="24"/>
        </w:rPr>
        <w:t xml:space="preserve">Providing education to a diabetic on how to use his/her insulin is an example of which level of prevention? </w:t>
      </w:r>
    </w:p>
    <w:p w14:paraId="1511C72A" w14:textId="77777777" w:rsidR="00DF61CA" w:rsidRPr="006F3C10" w:rsidRDefault="00DF61CA" w:rsidP="00DF61CA">
      <w:pPr>
        <w:pStyle w:val="NormalText"/>
        <w:ind w:left="1440"/>
        <w:rPr>
          <w:rFonts w:ascii="Times New Roman" w:hAnsi="Times New Roman" w:cs="Times New Roman"/>
          <w:sz w:val="24"/>
          <w:szCs w:val="24"/>
        </w:rPr>
      </w:pPr>
    </w:p>
    <w:p w14:paraId="661253D9" w14:textId="77777777" w:rsidR="00DF61CA" w:rsidRPr="006F3C10" w:rsidRDefault="00DF61CA" w:rsidP="00DF61CA">
      <w:pPr>
        <w:pStyle w:val="NormalText"/>
        <w:numPr>
          <w:ilvl w:val="0"/>
          <w:numId w:val="4"/>
        </w:numPr>
        <w:rPr>
          <w:rFonts w:ascii="Times New Roman" w:hAnsi="Times New Roman" w:cs="Times New Roman"/>
          <w:sz w:val="24"/>
          <w:szCs w:val="24"/>
        </w:rPr>
      </w:pPr>
      <w:r w:rsidRPr="006F3C10">
        <w:rPr>
          <w:rFonts w:ascii="Times New Roman" w:hAnsi="Times New Roman" w:cs="Times New Roman"/>
          <w:sz w:val="24"/>
          <w:szCs w:val="24"/>
        </w:rPr>
        <w:t xml:space="preserve">Primary prevention </w:t>
      </w:r>
    </w:p>
    <w:p w14:paraId="68279182" w14:textId="77777777" w:rsidR="00DF61CA" w:rsidRPr="006F3C10" w:rsidRDefault="00DF61CA" w:rsidP="00DF61CA">
      <w:pPr>
        <w:pStyle w:val="NormalText"/>
        <w:numPr>
          <w:ilvl w:val="0"/>
          <w:numId w:val="4"/>
        </w:numPr>
        <w:rPr>
          <w:rFonts w:ascii="Times New Roman" w:hAnsi="Times New Roman" w:cs="Times New Roman"/>
          <w:sz w:val="24"/>
          <w:szCs w:val="24"/>
        </w:rPr>
      </w:pPr>
      <w:r w:rsidRPr="006F3C10">
        <w:rPr>
          <w:rFonts w:ascii="Times New Roman" w:hAnsi="Times New Roman" w:cs="Times New Roman"/>
          <w:sz w:val="24"/>
          <w:szCs w:val="24"/>
        </w:rPr>
        <w:t xml:space="preserve">Secondary prevention </w:t>
      </w:r>
    </w:p>
    <w:p w14:paraId="510614B9" w14:textId="77777777" w:rsidR="00DF61CA" w:rsidRPr="009D61E7" w:rsidRDefault="00DF61CA" w:rsidP="00DF61CA">
      <w:pPr>
        <w:pStyle w:val="NormalText"/>
        <w:numPr>
          <w:ilvl w:val="0"/>
          <w:numId w:val="4"/>
        </w:numPr>
        <w:rPr>
          <w:rFonts w:ascii="Times New Roman" w:hAnsi="Times New Roman" w:cs="Times New Roman"/>
          <w:sz w:val="24"/>
          <w:szCs w:val="24"/>
          <w:highlight w:val="yellow"/>
        </w:rPr>
      </w:pPr>
      <w:r w:rsidRPr="009D61E7">
        <w:rPr>
          <w:rFonts w:ascii="Times New Roman" w:hAnsi="Times New Roman" w:cs="Times New Roman"/>
          <w:sz w:val="24"/>
          <w:szCs w:val="24"/>
          <w:highlight w:val="yellow"/>
        </w:rPr>
        <w:t xml:space="preserve">Tertiary prevention </w:t>
      </w:r>
    </w:p>
    <w:p w14:paraId="7155D7A5" w14:textId="77777777" w:rsidR="00DF61CA" w:rsidRPr="006F3C10" w:rsidRDefault="00DF61CA" w:rsidP="00DF61CA">
      <w:pPr>
        <w:pStyle w:val="NormalText"/>
        <w:numPr>
          <w:ilvl w:val="0"/>
          <w:numId w:val="4"/>
        </w:numPr>
        <w:rPr>
          <w:rFonts w:ascii="Times New Roman" w:hAnsi="Times New Roman" w:cs="Times New Roman"/>
          <w:sz w:val="24"/>
          <w:szCs w:val="24"/>
        </w:rPr>
      </w:pPr>
      <w:r w:rsidRPr="006F3C10">
        <w:rPr>
          <w:rFonts w:ascii="Times New Roman" w:hAnsi="Times New Roman" w:cs="Times New Roman"/>
          <w:sz w:val="24"/>
          <w:szCs w:val="24"/>
        </w:rPr>
        <w:t xml:space="preserve">Community prevention </w:t>
      </w:r>
    </w:p>
    <w:p w14:paraId="053EB800" w14:textId="77777777" w:rsidR="00DF61CA" w:rsidRDefault="00DF61CA" w:rsidP="00DF61CA">
      <w:pPr>
        <w:autoSpaceDE w:val="0"/>
        <w:autoSpaceDN w:val="0"/>
        <w:adjustRightInd w:val="0"/>
        <w:spacing w:before="240" w:after="0" w:line="240" w:lineRule="auto"/>
        <w:rPr>
          <w:rFonts w:ascii="Times New Roman" w:hAnsi="Times New Roman"/>
          <w:b/>
          <w:sz w:val="24"/>
          <w:szCs w:val="24"/>
        </w:rPr>
      </w:pPr>
    </w:p>
    <w:tbl>
      <w:tblPr>
        <w:tblW w:w="0" w:type="auto"/>
        <w:tblInd w:w="60" w:type="dxa"/>
        <w:tblLayout w:type="fixed"/>
        <w:tblCellMar>
          <w:left w:w="60" w:type="dxa"/>
          <w:right w:w="60" w:type="dxa"/>
        </w:tblCellMar>
        <w:tblLook w:val="0000" w:firstRow="0" w:lastRow="0" w:firstColumn="0" w:lastColumn="0" w:noHBand="0" w:noVBand="0"/>
      </w:tblPr>
      <w:tblGrid>
        <w:gridCol w:w="720"/>
        <w:gridCol w:w="480"/>
        <w:gridCol w:w="8160"/>
      </w:tblGrid>
      <w:tr w:rsidR="00DF61CA" w:rsidRPr="006F3C10" w14:paraId="53B392C5" w14:textId="77777777" w:rsidTr="00752D4E">
        <w:tc>
          <w:tcPr>
            <w:tcW w:w="720" w:type="dxa"/>
            <w:tcBorders>
              <w:top w:val="nil"/>
              <w:left w:val="nil"/>
              <w:bottom w:val="nil"/>
              <w:right w:val="nil"/>
            </w:tcBorders>
          </w:tcPr>
          <w:p w14:paraId="52259092" w14:textId="77777777" w:rsidR="00DF61CA" w:rsidRPr="006F3C10" w:rsidRDefault="00DF61CA" w:rsidP="00752D4E">
            <w:pPr>
              <w:keepNext/>
              <w:keepLines/>
              <w:widowControl w:val="0"/>
              <w:autoSpaceDE w:val="0"/>
              <w:autoSpaceDN w:val="0"/>
              <w:adjustRightInd w:val="0"/>
              <w:spacing w:after="0" w:line="240" w:lineRule="auto"/>
              <w:jc w:val="right"/>
              <w:rPr>
                <w:rFonts w:ascii="Times New Roman" w:hAnsi="Times New Roman"/>
                <w:sz w:val="24"/>
                <w:szCs w:val="24"/>
              </w:rPr>
            </w:pPr>
          </w:p>
        </w:tc>
        <w:tc>
          <w:tcPr>
            <w:tcW w:w="8640" w:type="dxa"/>
            <w:gridSpan w:val="2"/>
            <w:tcBorders>
              <w:top w:val="nil"/>
              <w:left w:val="nil"/>
              <w:bottom w:val="nil"/>
              <w:right w:val="nil"/>
            </w:tcBorders>
          </w:tcPr>
          <w:p w14:paraId="06281034" w14:textId="77777777" w:rsidR="00DF61CA" w:rsidRPr="0000189D" w:rsidRDefault="00DF61CA" w:rsidP="00752D4E">
            <w:pPr>
              <w:pStyle w:val="ListParagraph"/>
              <w:keepNext/>
              <w:keepLines/>
              <w:widowControl w:val="0"/>
              <w:numPr>
                <w:ilvl w:val="0"/>
                <w:numId w:val="1"/>
              </w:numPr>
              <w:autoSpaceDE w:val="0"/>
              <w:autoSpaceDN w:val="0"/>
              <w:adjustRightInd w:val="0"/>
              <w:spacing w:after="0" w:line="240" w:lineRule="auto"/>
              <w:rPr>
                <w:rFonts w:ascii="Times New Roman" w:hAnsi="Times New Roman"/>
                <w:sz w:val="24"/>
                <w:szCs w:val="24"/>
              </w:rPr>
            </w:pPr>
            <w:r w:rsidRPr="0000189D">
              <w:rPr>
                <w:rFonts w:ascii="Times New Roman" w:hAnsi="Times New Roman"/>
                <w:sz w:val="24"/>
                <w:szCs w:val="24"/>
              </w:rPr>
              <w:t xml:space="preserve">The nurse researcher knows that there are two primary criteria for assessment of an instrument. What is reliability? </w:t>
            </w:r>
          </w:p>
          <w:p w14:paraId="4A02423A"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p>
        </w:tc>
      </w:tr>
      <w:tr w:rsidR="00DF61CA" w:rsidRPr="006F3C10" w14:paraId="12B5D1AA" w14:textId="77777777" w:rsidTr="00752D4E">
        <w:trPr>
          <w:gridBefore w:val="1"/>
          <w:wBefore w:w="720" w:type="dxa"/>
        </w:trPr>
        <w:tc>
          <w:tcPr>
            <w:tcW w:w="480" w:type="dxa"/>
            <w:tcBorders>
              <w:top w:val="nil"/>
              <w:left w:val="nil"/>
              <w:bottom w:val="nil"/>
              <w:right w:val="nil"/>
            </w:tcBorders>
          </w:tcPr>
          <w:p w14:paraId="2B127865"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A)</w:t>
            </w:r>
          </w:p>
        </w:tc>
        <w:tc>
          <w:tcPr>
            <w:tcW w:w="8160" w:type="dxa"/>
            <w:tcBorders>
              <w:top w:val="nil"/>
              <w:left w:val="nil"/>
              <w:bottom w:val="nil"/>
              <w:right w:val="nil"/>
            </w:tcBorders>
          </w:tcPr>
          <w:p w14:paraId="7EA17296"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9D61E7">
              <w:rPr>
                <w:rFonts w:ascii="Times New Roman" w:hAnsi="Times New Roman"/>
                <w:color w:val="4472C4" w:themeColor="accent5"/>
                <w:sz w:val="24"/>
                <w:szCs w:val="24"/>
                <w:highlight w:val="yellow"/>
              </w:rPr>
              <w:t>Degree of consistency or accuracy with which an instrument measures an attribute</w:t>
            </w:r>
          </w:p>
        </w:tc>
      </w:tr>
      <w:tr w:rsidR="00DF61CA" w:rsidRPr="006F3C10" w14:paraId="4DAA9977" w14:textId="77777777" w:rsidTr="00752D4E">
        <w:trPr>
          <w:gridBefore w:val="1"/>
          <w:wBefore w:w="720" w:type="dxa"/>
        </w:trPr>
        <w:tc>
          <w:tcPr>
            <w:tcW w:w="480" w:type="dxa"/>
            <w:tcBorders>
              <w:top w:val="nil"/>
              <w:left w:val="nil"/>
              <w:bottom w:val="nil"/>
              <w:right w:val="nil"/>
            </w:tcBorders>
          </w:tcPr>
          <w:p w14:paraId="64393342"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B)</w:t>
            </w:r>
          </w:p>
        </w:tc>
        <w:tc>
          <w:tcPr>
            <w:tcW w:w="8160" w:type="dxa"/>
            <w:tcBorders>
              <w:top w:val="nil"/>
              <w:left w:val="nil"/>
              <w:bottom w:val="nil"/>
              <w:right w:val="nil"/>
            </w:tcBorders>
          </w:tcPr>
          <w:p w14:paraId="01705647"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Magnitude and direction of a relationship between two variables</w:t>
            </w:r>
          </w:p>
        </w:tc>
      </w:tr>
      <w:tr w:rsidR="00DF61CA" w:rsidRPr="006F3C10" w14:paraId="1D686585" w14:textId="77777777" w:rsidTr="00752D4E">
        <w:trPr>
          <w:gridBefore w:val="1"/>
          <w:wBefore w:w="720" w:type="dxa"/>
        </w:trPr>
        <w:tc>
          <w:tcPr>
            <w:tcW w:w="480" w:type="dxa"/>
            <w:tcBorders>
              <w:top w:val="nil"/>
              <w:left w:val="nil"/>
              <w:bottom w:val="nil"/>
              <w:right w:val="nil"/>
            </w:tcBorders>
          </w:tcPr>
          <w:p w14:paraId="24CE4280"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C)</w:t>
            </w:r>
          </w:p>
        </w:tc>
        <w:tc>
          <w:tcPr>
            <w:tcW w:w="8160" w:type="dxa"/>
            <w:tcBorders>
              <w:top w:val="nil"/>
              <w:left w:val="nil"/>
              <w:bottom w:val="nil"/>
              <w:right w:val="nil"/>
            </w:tcBorders>
          </w:tcPr>
          <w:p w14:paraId="17D9E665"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Extent to which an instrument yields the same results on repeated administrations</w:t>
            </w:r>
          </w:p>
        </w:tc>
      </w:tr>
      <w:tr w:rsidR="00DF61CA" w:rsidRPr="006F3C10" w14:paraId="46476C17" w14:textId="77777777" w:rsidTr="00752D4E">
        <w:trPr>
          <w:gridBefore w:val="1"/>
          <w:wBefore w:w="720" w:type="dxa"/>
        </w:trPr>
        <w:tc>
          <w:tcPr>
            <w:tcW w:w="480" w:type="dxa"/>
            <w:tcBorders>
              <w:top w:val="nil"/>
              <w:left w:val="nil"/>
              <w:bottom w:val="nil"/>
              <w:right w:val="nil"/>
            </w:tcBorders>
          </w:tcPr>
          <w:p w14:paraId="490B54F7"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D)</w:t>
            </w:r>
          </w:p>
        </w:tc>
        <w:tc>
          <w:tcPr>
            <w:tcW w:w="8160" w:type="dxa"/>
            <w:tcBorders>
              <w:top w:val="nil"/>
              <w:left w:val="nil"/>
              <w:bottom w:val="nil"/>
              <w:right w:val="nil"/>
            </w:tcBorders>
          </w:tcPr>
          <w:p w14:paraId="52C763AB" w14:textId="77777777" w:rsidR="00DF61CA" w:rsidRPr="006F3C10" w:rsidRDefault="00DF61CA" w:rsidP="00752D4E">
            <w:pPr>
              <w:keepNext/>
              <w:keepLines/>
              <w:widowControl w:val="0"/>
              <w:autoSpaceDE w:val="0"/>
              <w:autoSpaceDN w:val="0"/>
              <w:adjustRightInd w:val="0"/>
              <w:spacing w:after="0" w:line="240" w:lineRule="auto"/>
              <w:rPr>
                <w:rFonts w:ascii="Times New Roman" w:hAnsi="Times New Roman"/>
                <w:sz w:val="24"/>
                <w:szCs w:val="24"/>
              </w:rPr>
            </w:pPr>
            <w:r w:rsidRPr="006F3C10">
              <w:rPr>
                <w:rFonts w:ascii="Times New Roman" w:hAnsi="Times New Roman"/>
                <w:sz w:val="24"/>
                <w:szCs w:val="24"/>
              </w:rPr>
              <w:t>Extent to which an instrument's items are measuring the same attribute</w:t>
            </w:r>
          </w:p>
        </w:tc>
      </w:tr>
    </w:tbl>
    <w:p w14:paraId="3D0A8772" w14:textId="77777777" w:rsidR="007538A8" w:rsidRPr="007538A8" w:rsidRDefault="007538A8" w:rsidP="00EC3272"/>
    <w:sectPr w:rsidR="007538A8" w:rsidRPr="00753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AD163B" w14:textId="77777777" w:rsidR="00124066" w:rsidRDefault="00124066" w:rsidP="007538A8">
      <w:pPr>
        <w:spacing w:after="0" w:line="240" w:lineRule="auto"/>
      </w:pPr>
      <w:r>
        <w:separator/>
      </w:r>
    </w:p>
  </w:endnote>
  <w:endnote w:type="continuationSeparator" w:id="0">
    <w:p w14:paraId="12D12240" w14:textId="77777777" w:rsidR="00124066" w:rsidRDefault="00124066" w:rsidP="0075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AB537" w14:textId="77777777" w:rsidR="00124066" w:rsidRDefault="00124066" w:rsidP="007538A8">
      <w:pPr>
        <w:spacing w:after="0" w:line="240" w:lineRule="auto"/>
      </w:pPr>
      <w:r>
        <w:separator/>
      </w:r>
    </w:p>
  </w:footnote>
  <w:footnote w:type="continuationSeparator" w:id="0">
    <w:p w14:paraId="559B6184" w14:textId="77777777" w:rsidR="00124066" w:rsidRDefault="00124066" w:rsidP="00753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AF49F6"/>
    <w:multiLevelType w:val="hybridMultilevel"/>
    <w:tmpl w:val="BA62E510"/>
    <w:lvl w:ilvl="0" w:tplc="0409000F">
      <w:start w:val="1"/>
      <w:numFmt w:val="decimal"/>
      <w:lvlText w:val="%1."/>
      <w:lvlJc w:val="left"/>
      <w:pPr>
        <w:ind w:left="36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562D38A7"/>
    <w:multiLevelType w:val="hybridMultilevel"/>
    <w:tmpl w:val="3AA4144A"/>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5FA2246E"/>
    <w:multiLevelType w:val="multilevel"/>
    <w:tmpl w:val="77B0F6E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7B76E6"/>
    <w:multiLevelType w:val="hybridMultilevel"/>
    <w:tmpl w:val="BA9EC5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28"/>
    <w:rsid w:val="0000189D"/>
    <w:rsid w:val="000667F0"/>
    <w:rsid w:val="00124066"/>
    <w:rsid w:val="00176122"/>
    <w:rsid w:val="001E1937"/>
    <w:rsid w:val="002C4EB0"/>
    <w:rsid w:val="002D0885"/>
    <w:rsid w:val="00374175"/>
    <w:rsid w:val="003E755F"/>
    <w:rsid w:val="0075001B"/>
    <w:rsid w:val="007538A8"/>
    <w:rsid w:val="00783795"/>
    <w:rsid w:val="00797F66"/>
    <w:rsid w:val="007E164E"/>
    <w:rsid w:val="008C2D85"/>
    <w:rsid w:val="008E7859"/>
    <w:rsid w:val="009C0F28"/>
    <w:rsid w:val="009D61E7"/>
    <w:rsid w:val="009F54E1"/>
    <w:rsid w:val="009F5E96"/>
    <w:rsid w:val="00A53B28"/>
    <w:rsid w:val="00A7410D"/>
    <w:rsid w:val="00A93B02"/>
    <w:rsid w:val="00AD5570"/>
    <w:rsid w:val="00AE2F66"/>
    <w:rsid w:val="00C32B13"/>
    <w:rsid w:val="00D91E1A"/>
    <w:rsid w:val="00DA4845"/>
    <w:rsid w:val="00DC5C1C"/>
    <w:rsid w:val="00DF61CA"/>
    <w:rsid w:val="00E760BB"/>
    <w:rsid w:val="00EA68B6"/>
    <w:rsid w:val="00EC3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8A0E8"/>
  <w15:chartTrackingRefBased/>
  <w15:docId w15:val="{8BC7CF8D-DEE5-442E-8ECC-AE6F657A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F2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F28"/>
    <w:pPr>
      <w:ind w:left="720"/>
      <w:contextualSpacing/>
    </w:pPr>
  </w:style>
  <w:style w:type="character" w:styleId="Hyperlink">
    <w:name w:val="Hyperlink"/>
    <w:basedOn w:val="DefaultParagraphFont"/>
    <w:uiPriority w:val="99"/>
    <w:unhideWhenUsed/>
    <w:rsid w:val="00D91E1A"/>
    <w:rPr>
      <w:color w:val="0563C1" w:themeColor="hyperlink"/>
      <w:u w:val="single"/>
    </w:rPr>
  </w:style>
  <w:style w:type="paragraph" w:customStyle="1" w:styleId="NormalText">
    <w:name w:val="Normal Text"/>
    <w:rsid w:val="00374175"/>
    <w:pPr>
      <w:widowControl w:val="0"/>
      <w:autoSpaceDE w:val="0"/>
      <w:autoSpaceDN w:val="0"/>
      <w:adjustRightInd w:val="0"/>
      <w:spacing w:after="0" w:line="240" w:lineRule="auto"/>
    </w:pPr>
    <w:rPr>
      <w:rFonts w:ascii="Palatino Linotype" w:eastAsia="SimSun" w:hAnsi="Palatino Linotype" w:cs="Palatino Linotype"/>
      <w:color w:val="000000"/>
      <w:sz w:val="20"/>
      <w:szCs w:val="20"/>
    </w:rPr>
  </w:style>
  <w:style w:type="paragraph" w:styleId="Header">
    <w:name w:val="header"/>
    <w:basedOn w:val="Normal"/>
    <w:link w:val="HeaderChar"/>
    <w:uiPriority w:val="99"/>
    <w:unhideWhenUsed/>
    <w:rsid w:val="00753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8A8"/>
    <w:rPr>
      <w:rFonts w:ascii="Calibri" w:eastAsia="Calibri" w:hAnsi="Calibri" w:cs="Times New Roman"/>
    </w:rPr>
  </w:style>
  <w:style w:type="paragraph" w:styleId="Footer">
    <w:name w:val="footer"/>
    <w:basedOn w:val="Normal"/>
    <w:link w:val="FooterChar"/>
    <w:uiPriority w:val="99"/>
    <w:unhideWhenUsed/>
    <w:rsid w:val="00753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8A8"/>
    <w:rPr>
      <w:rFonts w:ascii="Calibri" w:eastAsia="Calibri" w:hAnsi="Calibri" w:cs="Times New Roman"/>
    </w:rPr>
  </w:style>
  <w:style w:type="character" w:customStyle="1" w:styleId="t">
    <w:name w:val="t"/>
    <w:basedOn w:val="DefaultParagraphFont"/>
    <w:rsid w:val="009D61E7"/>
  </w:style>
  <w:style w:type="character" w:styleId="Strong">
    <w:name w:val="Strong"/>
    <w:basedOn w:val="DefaultParagraphFont"/>
    <w:uiPriority w:val="22"/>
    <w:qFormat/>
    <w:rsid w:val="00EA6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Charles R. Drew University</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Shaheen</dc:creator>
  <cp:keywords/>
  <dc:description/>
  <cp:lastModifiedBy>Lizbeth Novelliere</cp:lastModifiedBy>
  <cp:revision>3</cp:revision>
  <dcterms:created xsi:type="dcterms:W3CDTF">2020-10-14T12:54:00Z</dcterms:created>
  <dcterms:modified xsi:type="dcterms:W3CDTF">2020-10-14T13:16:00Z</dcterms:modified>
</cp:coreProperties>
</file>