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9B6" w:rsidRDefault="003079B6"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bookmarkStart w:id="0" w:name="_GoBack"/>
      <w:bookmarkEnd w:id="0"/>
    </w:p>
    <w:p w:rsidR="00954178" w:rsidRDefault="00954178" w:rsidP="00790EC3">
      <w:pPr>
        <w:spacing w:line="480" w:lineRule="auto"/>
        <w:rPr>
          <w:rFonts w:ascii="Times New Roman" w:hAnsi="Times New Roman" w:cs="Times New Roman"/>
          <w:sz w:val="24"/>
          <w:szCs w:val="24"/>
        </w:rPr>
      </w:pPr>
    </w:p>
    <w:p w:rsidR="00954178" w:rsidRDefault="006846A0" w:rsidP="006846A0">
      <w:pPr>
        <w:spacing w:line="480" w:lineRule="auto"/>
        <w:jc w:val="center"/>
      </w:pPr>
      <w:r>
        <w:t>Management</w:t>
      </w:r>
    </w:p>
    <w:p w:rsidR="00831D6B" w:rsidRDefault="00831D6B" w:rsidP="006846A0">
      <w:pPr>
        <w:spacing w:line="480" w:lineRule="auto"/>
        <w:jc w:val="center"/>
      </w:pPr>
      <w:r>
        <w:t xml:space="preserve">Students Name </w:t>
      </w:r>
    </w:p>
    <w:p w:rsidR="00831D6B" w:rsidRDefault="00831D6B" w:rsidP="006846A0">
      <w:pPr>
        <w:spacing w:line="480" w:lineRule="auto"/>
        <w:jc w:val="center"/>
      </w:pPr>
      <w:r>
        <w:t xml:space="preserve">University </w:t>
      </w:r>
      <w:r w:rsidR="00CE279A">
        <w:t>Affiliation</w:t>
      </w:r>
    </w:p>
    <w:p w:rsidR="006846A0" w:rsidRDefault="006846A0" w:rsidP="006846A0">
      <w:pPr>
        <w:spacing w:line="480" w:lineRule="auto"/>
        <w:jc w:val="center"/>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954178" w:rsidRDefault="00954178" w:rsidP="00790EC3">
      <w:pPr>
        <w:spacing w:line="480" w:lineRule="auto"/>
        <w:rPr>
          <w:rFonts w:ascii="Times New Roman" w:hAnsi="Times New Roman" w:cs="Times New Roman"/>
          <w:sz w:val="24"/>
          <w:szCs w:val="24"/>
        </w:rPr>
      </w:pPr>
    </w:p>
    <w:p w:rsidR="003079B6" w:rsidRDefault="00E31514" w:rsidP="00790EC3">
      <w:pPr>
        <w:spacing w:line="480" w:lineRule="auto"/>
        <w:rPr>
          <w:rFonts w:ascii="Times New Roman" w:hAnsi="Times New Roman" w:cs="Times New Roman"/>
          <w:b/>
          <w:sz w:val="24"/>
          <w:szCs w:val="24"/>
        </w:rPr>
      </w:pPr>
      <w:r w:rsidRPr="003079B6">
        <w:rPr>
          <w:rFonts w:ascii="Times New Roman" w:hAnsi="Times New Roman" w:cs="Times New Roman"/>
          <w:b/>
          <w:sz w:val="24"/>
          <w:szCs w:val="24"/>
        </w:rPr>
        <w:lastRenderedPageBreak/>
        <w:t>Case 1</w:t>
      </w:r>
    </w:p>
    <w:p w:rsidR="00E31514" w:rsidRPr="00E31514" w:rsidRDefault="00E31514" w:rsidP="003079B6">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 xml:space="preserve"> Insider trading is an illegal act of sell selling security without the prior knowledge of the intended or proper authorities or parties Arjoon (2017). However, insider trading can be legal depending on the circumstance under which the insider executes the trading activity, the legality of a given transaction is often questioned when the material information is exempted from the public domain.</w:t>
      </w:r>
    </w:p>
    <w:p w:rsidR="00E31514" w:rsidRPr="00E31514" w:rsidRDefault="00E31514" w:rsidP="003079B6">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Looking at the prevailing situation of the case study about the managerial position there is a significant concern about penalties or the impunity of unprofitable betting. Pete rose who a manager is precisely a victim of circumstance. The question that comes about is whether he should be punished or because of the insider. A series of questions arise about whether Peter Rose should be punished more harshly on condition that if he benefited from the malpractice. The hidden action where several managers sold the stock while the public was unaware bears the magnitude of the compromise. Even then the value of Enron Stock was not as everyone would imagine. It is essential to complete the case of the insider before arriving at a concrete resolution.</w:t>
      </w:r>
    </w:p>
    <w:p w:rsidR="00E31514" w:rsidRPr="00E31514" w:rsidRDefault="00E31514" w:rsidP="003079B6">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First is that the scope relating to the insider is far-reaching. Across the world, similar cases have been reported to the court of law. Some affecting the directors, the corporate officers as well as the employees, most of the cases have involved the incorporation through the back door. The provision of rules and regulation indicates that an insider should not trade the security of an entity for personal gain. An insider should operate within the confine of his or her family members Garcia Osma (2017). The offensive individuals should be punished to prevent any subsequent case. Should Pete Rose be found guilty, the case should be subjected to the rule of law Espinoza (2017).</w:t>
      </w:r>
    </w:p>
    <w:p w:rsidR="00CB372A"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lastRenderedPageBreak/>
        <w:t xml:space="preserve"> </w:t>
      </w:r>
      <w:r w:rsidR="003079B6" w:rsidRPr="003079B6">
        <w:rPr>
          <w:rFonts w:ascii="Times New Roman" w:hAnsi="Times New Roman" w:cs="Times New Roman"/>
          <w:b/>
          <w:sz w:val="24"/>
          <w:szCs w:val="24"/>
        </w:rPr>
        <w:t>The</w:t>
      </w:r>
      <w:r w:rsidRPr="003079B6">
        <w:rPr>
          <w:rFonts w:ascii="Times New Roman" w:hAnsi="Times New Roman" w:cs="Times New Roman"/>
          <w:b/>
          <w:sz w:val="24"/>
          <w:szCs w:val="24"/>
        </w:rPr>
        <w:t xml:space="preserve"> situation in the perspective of principle that guides the practice of the insi</w:t>
      </w:r>
      <w:r w:rsidR="003079B6" w:rsidRPr="003079B6">
        <w:rPr>
          <w:rFonts w:ascii="Times New Roman" w:hAnsi="Times New Roman" w:cs="Times New Roman"/>
          <w:b/>
          <w:sz w:val="24"/>
          <w:szCs w:val="24"/>
        </w:rPr>
        <w:t>der</w:t>
      </w:r>
      <w:r w:rsidR="003079B6">
        <w:rPr>
          <w:rFonts w:ascii="Times New Roman" w:hAnsi="Times New Roman" w:cs="Times New Roman"/>
          <w:sz w:val="24"/>
          <w:szCs w:val="24"/>
        </w:rPr>
        <w:t xml:space="preserve"> </w:t>
      </w:r>
    </w:p>
    <w:p w:rsidR="00E31514" w:rsidRPr="00E31514" w:rsidRDefault="00CB372A" w:rsidP="00790EC3">
      <w:pPr>
        <w:spacing w:line="480" w:lineRule="auto"/>
        <w:rPr>
          <w:rFonts w:ascii="Times New Roman" w:hAnsi="Times New Roman" w:cs="Times New Roman"/>
          <w:sz w:val="24"/>
          <w:szCs w:val="24"/>
        </w:rPr>
      </w:pPr>
      <w:r>
        <w:rPr>
          <w:rFonts w:ascii="Times New Roman" w:hAnsi="Times New Roman" w:cs="Times New Roman"/>
          <w:sz w:val="24"/>
          <w:szCs w:val="24"/>
        </w:rPr>
        <w:t>R</w:t>
      </w:r>
      <w:r w:rsidR="00CE2A6A" w:rsidRPr="00E31514">
        <w:rPr>
          <w:rFonts w:ascii="Times New Roman" w:hAnsi="Times New Roman" w:cs="Times New Roman"/>
          <w:sz w:val="24"/>
          <w:szCs w:val="24"/>
        </w:rPr>
        <w:t>egarding</w:t>
      </w:r>
      <w:r w:rsidR="00E31514" w:rsidRPr="00E31514">
        <w:rPr>
          <w:rFonts w:ascii="Times New Roman" w:hAnsi="Times New Roman" w:cs="Times New Roman"/>
          <w:sz w:val="24"/>
          <w:szCs w:val="24"/>
        </w:rPr>
        <w:t xml:space="preserve"> the policy statement of insider trading, it is against the expectation of the company and sincerely a compromise of the company’s reputation. The individuals who are subject to disciplinary action, additionally it is the sole of the company to get rid of them through</w:t>
      </w:r>
      <w:r w:rsidR="00CE2A6A">
        <w:rPr>
          <w:rFonts w:ascii="Times New Roman" w:hAnsi="Times New Roman" w:cs="Times New Roman"/>
          <w:sz w:val="24"/>
          <w:szCs w:val="24"/>
        </w:rPr>
        <w:t xml:space="preserve"> dismissal for cause of </w:t>
      </w:r>
      <w:r w:rsidR="00D1286A">
        <w:rPr>
          <w:rFonts w:ascii="Times New Roman" w:hAnsi="Times New Roman" w:cs="Times New Roman"/>
          <w:sz w:val="24"/>
          <w:szCs w:val="24"/>
        </w:rPr>
        <w:t>action. One</w:t>
      </w:r>
      <w:r w:rsidR="00E31514" w:rsidRPr="00E31514">
        <w:rPr>
          <w:rFonts w:ascii="Times New Roman" w:hAnsi="Times New Roman" w:cs="Times New Roman"/>
          <w:sz w:val="24"/>
          <w:szCs w:val="24"/>
        </w:rPr>
        <w:t xml:space="preserve"> can look at the situation in the perspective of principle that guides the practice of the insider. Regarding the policy statement of insider trading, it is against the expectation of the company and sincerely a compromise of the company’s reputation. The individuals who are subject to disciplinary action, additionally it is the sole of the company to get rid of them through dismissal for cause of action. In another perspective look, all information that affects the company is regarded as material where there is a limit to the public disclosure. The investor public and the family do not have the right to information access unless there is perfect and due permission.</w:t>
      </w: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Should Pete Rose be allowed to profit from betting on the success of a team he managed?</w:t>
      </w:r>
    </w:p>
    <w:p w:rsidR="00CB110F"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 xml:space="preserve">The case affecting the company is that the material information regarding insider was brought to the eyes of the investors. Peter Rose should not be punished because of the prudent act the rule of law the compromising level of the accepted stand and the entity has not reached the punishable level where the victim of divulging is regarded as the plaintiff. The information about the company must be disseminated through a well-featured protocol where the public domain can only access the approved matters. The element of information dissemination is within the area of the public, and it must have proper regulation for public trust. It is prudent to ensure an appropriate timing to deliver the well-filtered message before posting to the federal website. To sum up, it is a sensitive matter to undertake insider within the company without prudence. It truth </w:t>
      </w:r>
      <w:r w:rsidRPr="00E31514">
        <w:rPr>
          <w:rFonts w:ascii="Times New Roman" w:hAnsi="Times New Roman" w:cs="Times New Roman"/>
          <w:sz w:val="24"/>
          <w:szCs w:val="24"/>
        </w:rPr>
        <w:lastRenderedPageBreak/>
        <w:t>any form of compromise is an adverse event to the undertaking the company and thus the urge for strict enforcement.</w:t>
      </w:r>
    </w:p>
    <w:p w:rsidR="00E31514" w:rsidRPr="00790EC3" w:rsidRDefault="00E31514" w:rsidP="00790EC3">
      <w:pPr>
        <w:spacing w:line="480" w:lineRule="auto"/>
        <w:rPr>
          <w:rFonts w:ascii="Times New Roman" w:hAnsi="Times New Roman" w:cs="Times New Roman"/>
          <w:b/>
          <w:sz w:val="24"/>
          <w:szCs w:val="24"/>
        </w:rPr>
      </w:pPr>
      <w:r w:rsidRPr="00790EC3">
        <w:rPr>
          <w:rFonts w:ascii="Times New Roman" w:hAnsi="Times New Roman" w:cs="Times New Roman"/>
          <w:b/>
          <w:sz w:val="24"/>
          <w:szCs w:val="24"/>
        </w:rPr>
        <w:t>Case 2</w:t>
      </w:r>
    </w:p>
    <w:p w:rsidR="00E31514" w:rsidRPr="00E31514" w:rsidRDefault="00E31514" w:rsidP="006D5B4C">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 xml:space="preserve">First is that the company is under a credible threat, the due outstanding credit worth $ 1 million for North manufacturing company. Kathy, the credit officer, has the expected mandate of following up the entire collectible amount.  With the drive of duty and commitment, Kathy assumes the roles of visiting the North to collect the debt. </w:t>
      </w:r>
    </w:p>
    <w:p w:rsidR="00E31514" w:rsidRPr="00E31514" w:rsidRDefault="00E31514" w:rsidP="006D5B4C">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The financial statement raises another concern for the performance of the manufacturing company; the situation indicates that the company is prone to bankruptcy and its heading to the attorney. Therefore the performance of the manufacturing company is indeed deteriorating the prediction is that if things fail to turn around, then further action of filing the case can be done, probably soon; the case for bankruptcy may be submitted. The prevailing situation attracts a discussion proposing of if whether the manufacturing company can still offer trade credit.  It sounds awkward to hear that the full force of credit collection might be compromised. The request for trade credit is unworthy and in fact a risk to the credit officers’ bonus and to the extreme of losing a job.</w:t>
      </w:r>
    </w:p>
    <w:p w:rsidR="00E31514" w:rsidRPr="00E31514" w:rsidRDefault="00E31514" w:rsidP="00502CA0">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 xml:space="preserve">Mike, a credit officer manager, is interested to hear the credibility of the north manufacturing by from the credit manager. The credibility history gives the status, and it sounds more promising. Likelihood creates confidence for the necessary supplies to establish contact and trust to supply the required goods during the year. Further information comes about on the importance of seeking the public knowledge about the credit histories of the company. A lot of </w:t>
      </w:r>
      <w:r w:rsidRPr="00E31514">
        <w:rPr>
          <w:rFonts w:ascii="Times New Roman" w:hAnsi="Times New Roman" w:cs="Times New Roman"/>
          <w:sz w:val="24"/>
          <w:szCs w:val="24"/>
        </w:rPr>
        <w:lastRenderedPageBreak/>
        <w:t>attention is placed in the process of promoting transparency and the urge of proper decision-making process without significant potential risk.</w:t>
      </w:r>
    </w:p>
    <w:p w:rsidR="00E31514" w:rsidRPr="00DE619F" w:rsidRDefault="00E31514" w:rsidP="00790EC3">
      <w:pPr>
        <w:spacing w:line="480" w:lineRule="auto"/>
        <w:rPr>
          <w:rFonts w:ascii="Times New Roman" w:hAnsi="Times New Roman" w:cs="Times New Roman"/>
          <w:b/>
          <w:sz w:val="24"/>
          <w:szCs w:val="24"/>
        </w:rPr>
      </w:pPr>
      <w:r w:rsidRPr="00DE619F">
        <w:rPr>
          <w:rFonts w:ascii="Times New Roman" w:hAnsi="Times New Roman" w:cs="Times New Roman"/>
          <w:b/>
          <w:sz w:val="24"/>
          <w:szCs w:val="24"/>
        </w:rPr>
        <w:t>Ethical issues</w:t>
      </w: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This refers to the professional duty that suits and sustains the organization or the company’s behaviors. The professions at different difference demonstrate the intense action that stands to defend the status of the entity, the act. Maintaining and holding good business meetings to discuss the matters in the areas of importance of professional conduct.it is necessarily a way operating within the line of ethics and particular company’s. In the process of decision making, Kathy is keen to ensure that the decision he makes does not cause impeding circumstance to the company at large. This is evidenced mainly by the care demonstrated in shielding the financial risk and the job.</w:t>
      </w:r>
    </w:p>
    <w:p w:rsidR="00E31514" w:rsidRPr="00DE619F" w:rsidRDefault="00E31514" w:rsidP="00790EC3">
      <w:pPr>
        <w:spacing w:line="480" w:lineRule="auto"/>
        <w:rPr>
          <w:rFonts w:ascii="Times New Roman" w:hAnsi="Times New Roman" w:cs="Times New Roman"/>
          <w:b/>
          <w:sz w:val="24"/>
          <w:szCs w:val="24"/>
        </w:rPr>
      </w:pPr>
      <w:r w:rsidRPr="00DE619F">
        <w:rPr>
          <w:rFonts w:ascii="Times New Roman" w:hAnsi="Times New Roman" w:cs="Times New Roman"/>
          <w:b/>
          <w:sz w:val="24"/>
          <w:szCs w:val="24"/>
        </w:rPr>
        <w:t>The perspective of Utilitarianism gives guidelines of ethics practice</w:t>
      </w:r>
    </w:p>
    <w:p w:rsidR="00E31514" w:rsidRPr="00E31514" w:rsidRDefault="00E31514" w:rsidP="004F1313">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 xml:space="preserve">Utilitarianism is a theory of ethics; its tenet insists that the most preferred action is that which upholds utility Hu (2018). This is merely the various ways of demonstrating well-being and the high degree of sentient entities. The right focus of ethical practice is to promote dignity and promoting moral respect and building life with respect for equal and rational people. Kathy Ryan has the dual mandate of being at the forefront of safeguarding the dignity of the prospect credit customers to ensure that they can achieve the set goals. Looking at the situation, it’s clear that the accepted code of ethics guides the credibility of Kathy management style.  </w:t>
      </w: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It is entirely clear that there is a severe crisis regarding unrecovered debt and mostly the risk of foreseen deteriorating performance. Despite the case, there is a manifestation of proper understanding before decision-making process.</w:t>
      </w:r>
    </w:p>
    <w:p w:rsidR="00E31514" w:rsidRPr="00E31514" w:rsidRDefault="00E31514" w:rsidP="00790EC3">
      <w:pPr>
        <w:spacing w:line="480" w:lineRule="auto"/>
        <w:rPr>
          <w:rFonts w:ascii="Times New Roman" w:hAnsi="Times New Roman" w:cs="Times New Roman"/>
          <w:sz w:val="24"/>
          <w:szCs w:val="24"/>
        </w:rPr>
      </w:pP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Conclusion</w:t>
      </w: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To sum up, cooperate or company relations are affected by the dispute. One of the most common is the attempt to secure credit while the creditworthiness is not satisfactory.  In the process of fulfilling the grant a lot of consultation may be done to ensure that the dignity and right are highly honored as a way of protecting the entity and maintaining the reputation of all the participants.</w:t>
      </w:r>
    </w:p>
    <w:p w:rsidR="00E31514" w:rsidRPr="00E31514" w:rsidRDefault="00E31514" w:rsidP="00790EC3">
      <w:pPr>
        <w:spacing w:line="480" w:lineRule="auto"/>
        <w:rPr>
          <w:rFonts w:ascii="Times New Roman" w:hAnsi="Times New Roman" w:cs="Times New Roman"/>
          <w:sz w:val="24"/>
          <w:szCs w:val="24"/>
        </w:rPr>
      </w:pPr>
    </w:p>
    <w:p w:rsidR="00E31514" w:rsidRDefault="00E31514"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062D62" w:rsidRDefault="00062D62" w:rsidP="00790EC3">
      <w:pPr>
        <w:spacing w:line="480" w:lineRule="auto"/>
        <w:rPr>
          <w:rFonts w:ascii="Times New Roman" w:hAnsi="Times New Roman" w:cs="Times New Roman"/>
          <w:sz w:val="24"/>
          <w:szCs w:val="24"/>
        </w:rPr>
      </w:pPr>
    </w:p>
    <w:p w:rsidR="00FC0A4A" w:rsidRDefault="00FC0A4A" w:rsidP="00790EC3">
      <w:pPr>
        <w:spacing w:line="480" w:lineRule="auto"/>
        <w:rPr>
          <w:rFonts w:ascii="Times New Roman" w:hAnsi="Times New Roman" w:cs="Times New Roman"/>
          <w:sz w:val="24"/>
          <w:szCs w:val="24"/>
        </w:rPr>
      </w:pPr>
    </w:p>
    <w:p w:rsidR="00FC0A4A" w:rsidRDefault="00FC0A4A" w:rsidP="00790EC3">
      <w:pPr>
        <w:spacing w:line="480" w:lineRule="auto"/>
        <w:rPr>
          <w:rFonts w:ascii="Times New Roman" w:hAnsi="Times New Roman" w:cs="Times New Roman"/>
          <w:sz w:val="24"/>
          <w:szCs w:val="24"/>
        </w:rPr>
      </w:pPr>
    </w:p>
    <w:p w:rsidR="00062D62" w:rsidRPr="00E31514" w:rsidRDefault="00062D62" w:rsidP="00790EC3">
      <w:pPr>
        <w:spacing w:line="480" w:lineRule="auto"/>
        <w:rPr>
          <w:rFonts w:ascii="Times New Roman" w:hAnsi="Times New Roman" w:cs="Times New Roman"/>
          <w:sz w:val="24"/>
          <w:szCs w:val="24"/>
        </w:rPr>
      </w:pPr>
    </w:p>
    <w:p w:rsidR="00E31514" w:rsidRPr="00E31514" w:rsidRDefault="00E31514" w:rsidP="00790EC3">
      <w:pPr>
        <w:spacing w:line="480" w:lineRule="auto"/>
        <w:jc w:val="center"/>
        <w:rPr>
          <w:rFonts w:ascii="Times New Roman" w:hAnsi="Times New Roman" w:cs="Times New Roman"/>
          <w:sz w:val="24"/>
          <w:szCs w:val="24"/>
        </w:rPr>
      </w:pPr>
      <w:r w:rsidRPr="00E31514">
        <w:rPr>
          <w:rFonts w:ascii="Times New Roman" w:hAnsi="Times New Roman" w:cs="Times New Roman"/>
          <w:sz w:val="24"/>
          <w:szCs w:val="24"/>
        </w:rPr>
        <w:lastRenderedPageBreak/>
        <w:t>References</w:t>
      </w:r>
    </w:p>
    <w:p w:rsidR="00BD671A"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 xml:space="preserve">Arjoon, S., Turriago-Hoyos, Á., &amp; Braun, B. M. (2017). Happiness: A Philosophical and </w:t>
      </w:r>
    </w:p>
    <w:p w:rsidR="00E31514" w:rsidRPr="00E31514" w:rsidRDefault="00E31514" w:rsidP="00790EC3">
      <w:pPr>
        <w:spacing w:line="480" w:lineRule="auto"/>
        <w:ind w:left="720"/>
        <w:rPr>
          <w:rFonts w:ascii="Times New Roman" w:hAnsi="Times New Roman" w:cs="Times New Roman"/>
          <w:sz w:val="24"/>
          <w:szCs w:val="24"/>
        </w:rPr>
      </w:pPr>
      <w:r w:rsidRPr="00E31514">
        <w:rPr>
          <w:rFonts w:ascii="Times New Roman" w:hAnsi="Times New Roman" w:cs="Times New Roman"/>
          <w:sz w:val="24"/>
          <w:szCs w:val="24"/>
        </w:rPr>
        <w:t>Historical Perspective. Handbook of Virtue Ethics in Business and Management, 827-834.</w:t>
      </w:r>
    </w:p>
    <w:p w:rsidR="005477A7"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 xml:space="preserve">Espinoza, F. A., Guerra, E. M., &amp; Velasco, N. E. (2017). A Role-Based Model in the Service </w:t>
      </w:r>
    </w:p>
    <w:p w:rsidR="00E31514" w:rsidRPr="00E31514" w:rsidRDefault="00E31514" w:rsidP="00790EC3">
      <w:pPr>
        <w:spacing w:line="480" w:lineRule="auto"/>
        <w:ind w:left="720"/>
        <w:rPr>
          <w:rFonts w:ascii="Times New Roman" w:hAnsi="Times New Roman" w:cs="Times New Roman"/>
          <w:sz w:val="24"/>
          <w:szCs w:val="24"/>
        </w:rPr>
      </w:pPr>
      <w:r w:rsidRPr="00E31514">
        <w:rPr>
          <w:rFonts w:ascii="Times New Roman" w:hAnsi="Times New Roman" w:cs="Times New Roman"/>
          <w:sz w:val="24"/>
          <w:szCs w:val="24"/>
        </w:rPr>
        <w:t>Industry: An Ethical Perspective. International Business Management, 11(11), 1882-1891.</w:t>
      </w:r>
    </w:p>
    <w:p w:rsidR="00D914B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 xml:space="preserve">Garcia Osma, B., Scarlat, E., &amp; Shields, K. (2017). Insider Trading Restrictions and Earnings </w:t>
      </w:r>
    </w:p>
    <w:p w:rsidR="00E31514" w:rsidRPr="00E31514" w:rsidRDefault="00E31514" w:rsidP="00790EC3">
      <w:pPr>
        <w:spacing w:line="480" w:lineRule="auto"/>
        <w:ind w:firstLine="720"/>
        <w:rPr>
          <w:rFonts w:ascii="Times New Roman" w:hAnsi="Times New Roman" w:cs="Times New Roman"/>
          <w:sz w:val="24"/>
          <w:szCs w:val="24"/>
        </w:rPr>
      </w:pPr>
      <w:r w:rsidRPr="00E31514">
        <w:rPr>
          <w:rFonts w:ascii="Times New Roman" w:hAnsi="Times New Roman" w:cs="Times New Roman"/>
          <w:sz w:val="24"/>
          <w:szCs w:val="24"/>
        </w:rPr>
        <w:t>Management.</w:t>
      </w:r>
    </w:p>
    <w:p w:rsidR="00E31514" w:rsidRPr="00E3151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Hu, N., &amp; Liang, P. (2018). Insider Trading Along Supply Chain Network in Credit Derivatives.</w:t>
      </w:r>
    </w:p>
    <w:p w:rsidR="00D914B4" w:rsidRDefault="00E31514" w:rsidP="00790EC3">
      <w:pPr>
        <w:spacing w:line="480" w:lineRule="auto"/>
        <w:rPr>
          <w:rFonts w:ascii="Times New Roman" w:hAnsi="Times New Roman" w:cs="Times New Roman"/>
          <w:sz w:val="24"/>
          <w:szCs w:val="24"/>
        </w:rPr>
      </w:pPr>
      <w:r w:rsidRPr="00E31514">
        <w:rPr>
          <w:rFonts w:ascii="Times New Roman" w:hAnsi="Times New Roman" w:cs="Times New Roman"/>
          <w:sz w:val="24"/>
          <w:szCs w:val="24"/>
        </w:rPr>
        <w:t xml:space="preserve">Del Brio, E. B., Perote, J., de Miguel, A., &amp; Gómez, G. (2018). Insider Trading and Corporate </w:t>
      </w:r>
    </w:p>
    <w:p w:rsidR="00D75EA3" w:rsidRPr="00E31514" w:rsidRDefault="00E31514" w:rsidP="00790EC3">
      <w:pPr>
        <w:spacing w:line="480" w:lineRule="auto"/>
        <w:ind w:left="720"/>
      </w:pPr>
      <w:r w:rsidRPr="00E31514">
        <w:rPr>
          <w:rFonts w:ascii="Times New Roman" w:hAnsi="Times New Roman" w:cs="Times New Roman"/>
          <w:sz w:val="24"/>
          <w:szCs w:val="24"/>
        </w:rPr>
        <w:t>Governance in the Banking Sector. New Lessons on the Entrenchment Effect. In Corporate Governance in Banking and Investor Protection (pp. 219-233). Springer, Cham.</w:t>
      </w:r>
    </w:p>
    <w:sectPr w:rsidR="00D75EA3" w:rsidRPr="00E315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3491" w:rsidRDefault="00FE3491" w:rsidP="0008392B">
      <w:pPr>
        <w:spacing w:after="0" w:line="240" w:lineRule="auto"/>
      </w:pPr>
      <w:r>
        <w:separator/>
      </w:r>
    </w:p>
  </w:endnote>
  <w:endnote w:type="continuationSeparator" w:id="0">
    <w:p w:rsidR="00FE3491" w:rsidRDefault="00FE3491" w:rsidP="0008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3491" w:rsidRDefault="00FE3491" w:rsidP="0008392B">
      <w:pPr>
        <w:spacing w:after="0" w:line="240" w:lineRule="auto"/>
      </w:pPr>
      <w:r>
        <w:separator/>
      </w:r>
    </w:p>
  </w:footnote>
  <w:footnote w:type="continuationSeparator" w:id="0">
    <w:p w:rsidR="00FE3491" w:rsidRDefault="00FE3491" w:rsidP="000839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3533750"/>
      <w:docPartObj>
        <w:docPartGallery w:val="Page Numbers (Top of Page)"/>
        <w:docPartUnique/>
      </w:docPartObj>
    </w:sdtPr>
    <w:sdtEndPr>
      <w:rPr>
        <w:noProof/>
      </w:rPr>
    </w:sdtEndPr>
    <w:sdtContent>
      <w:p w:rsidR="00D75EA3" w:rsidRDefault="00A12509">
        <w:pPr>
          <w:pStyle w:val="Header"/>
          <w:jc w:val="right"/>
        </w:pPr>
        <w:r>
          <w:t xml:space="preserve"> Running Head:  MANAGEMENT</w:t>
        </w:r>
        <w:r w:rsidR="00D83FD5">
          <w:t xml:space="preserve">        </w:t>
        </w:r>
        <w:r>
          <w:t xml:space="preserve">                                        </w:t>
        </w:r>
        <w:r w:rsidR="00D75EA3">
          <w:fldChar w:fldCharType="begin"/>
        </w:r>
        <w:r w:rsidR="00D75EA3">
          <w:instrText xml:space="preserve"> PAGE   \* MERGEFORMAT </w:instrText>
        </w:r>
        <w:r w:rsidR="00D75EA3">
          <w:fldChar w:fldCharType="separate"/>
        </w:r>
        <w:r w:rsidR="003E5C01">
          <w:rPr>
            <w:noProof/>
          </w:rPr>
          <w:t>7</w:t>
        </w:r>
        <w:r w:rsidR="00D75EA3">
          <w:rPr>
            <w:noProof/>
          </w:rPr>
          <w:fldChar w:fldCharType="end"/>
        </w:r>
      </w:p>
    </w:sdtContent>
  </w:sdt>
  <w:p w:rsidR="00D75EA3" w:rsidRDefault="00D75E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2F7DE9"/>
    <w:multiLevelType w:val="multilevel"/>
    <w:tmpl w:val="3B664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CD751AC"/>
    <w:multiLevelType w:val="multilevel"/>
    <w:tmpl w:val="E188B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5DB2"/>
    <w:rsid w:val="00060CC7"/>
    <w:rsid w:val="00062D62"/>
    <w:rsid w:val="0006415E"/>
    <w:rsid w:val="0008392B"/>
    <w:rsid w:val="000E3386"/>
    <w:rsid w:val="0014085C"/>
    <w:rsid w:val="00180149"/>
    <w:rsid w:val="00204A51"/>
    <w:rsid w:val="002131EF"/>
    <w:rsid w:val="0029611C"/>
    <w:rsid w:val="002A0C90"/>
    <w:rsid w:val="002B3499"/>
    <w:rsid w:val="002E52C5"/>
    <w:rsid w:val="003079B6"/>
    <w:rsid w:val="00354C1D"/>
    <w:rsid w:val="0038703B"/>
    <w:rsid w:val="003909C5"/>
    <w:rsid w:val="003B7F47"/>
    <w:rsid w:val="003E5C01"/>
    <w:rsid w:val="00437889"/>
    <w:rsid w:val="00463082"/>
    <w:rsid w:val="00493002"/>
    <w:rsid w:val="00496252"/>
    <w:rsid w:val="004A177F"/>
    <w:rsid w:val="004B1BBB"/>
    <w:rsid w:val="004E065C"/>
    <w:rsid w:val="004F1313"/>
    <w:rsid w:val="004F63F7"/>
    <w:rsid w:val="00502CA0"/>
    <w:rsid w:val="0051040C"/>
    <w:rsid w:val="005325BB"/>
    <w:rsid w:val="005477A7"/>
    <w:rsid w:val="005B2FC5"/>
    <w:rsid w:val="00602782"/>
    <w:rsid w:val="0061021C"/>
    <w:rsid w:val="00620376"/>
    <w:rsid w:val="006846A0"/>
    <w:rsid w:val="006D5B4C"/>
    <w:rsid w:val="006E775E"/>
    <w:rsid w:val="006F128A"/>
    <w:rsid w:val="00715CBF"/>
    <w:rsid w:val="00765EB9"/>
    <w:rsid w:val="0077040B"/>
    <w:rsid w:val="00772CE8"/>
    <w:rsid w:val="00790EC3"/>
    <w:rsid w:val="007A31A0"/>
    <w:rsid w:val="007A54B3"/>
    <w:rsid w:val="007E07A7"/>
    <w:rsid w:val="007E4F72"/>
    <w:rsid w:val="007F1B26"/>
    <w:rsid w:val="00831D6B"/>
    <w:rsid w:val="008365B3"/>
    <w:rsid w:val="00852A9F"/>
    <w:rsid w:val="008537F9"/>
    <w:rsid w:val="00861F1A"/>
    <w:rsid w:val="0087141F"/>
    <w:rsid w:val="008770D5"/>
    <w:rsid w:val="0095283B"/>
    <w:rsid w:val="00954178"/>
    <w:rsid w:val="009A66C9"/>
    <w:rsid w:val="00A01107"/>
    <w:rsid w:val="00A12509"/>
    <w:rsid w:val="00A55603"/>
    <w:rsid w:val="00A86068"/>
    <w:rsid w:val="00AA6D05"/>
    <w:rsid w:val="00AC4F1B"/>
    <w:rsid w:val="00B7029E"/>
    <w:rsid w:val="00BA2B6A"/>
    <w:rsid w:val="00BD043B"/>
    <w:rsid w:val="00BD4DE2"/>
    <w:rsid w:val="00BD671A"/>
    <w:rsid w:val="00C010DA"/>
    <w:rsid w:val="00C15897"/>
    <w:rsid w:val="00C2114D"/>
    <w:rsid w:val="00C25357"/>
    <w:rsid w:val="00C70E4E"/>
    <w:rsid w:val="00C95250"/>
    <w:rsid w:val="00CB110F"/>
    <w:rsid w:val="00CB372A"/>
    <w:rsid w:val="00CE279A"/>
    <w:rsid w:val="00CE2A6A"/>
    <w:rsid w:val="00CE5E25"/>
    <w:rsid w:val="00D1286A"/>
    <w:rsid w:val="00D161B1"/>
    <w:rsid w:val="00D25D12"/>
    <w:rsid w:val="00D25DB2"/>
    <w:rsid w:val="00D421B5"/>
    <w:rsid w:val="00D75EA3"/>
    <w:rsid w:val="00D83FD5"/>
    <w:rsid w:val="00D90816"/>
    <w:rsid w:val="00D914B4"/>
    <w:rsid w:val="00DC6BE9"/>
    <w:rsid w:val="00DE619F"/>
    <w:rsid w:val="00DF184B"/>
    <w:rsid w:val="00E31514"/>
    <w:rsid w:val="00E46C24"/>
    <w:rsid w:val="00E7397A"/>
    <w:rsid w:val="00EB030D"/>
    <w:rsid w:val="00EC095E"/>
    <w:rsid w:val="00EE2C04"/>
    <w:rsid w:val="00EE5AAE"/>
    <w:rsid w:val="00F3685E"/>
    <w:rsid w:val="00FA0A5C"/>
    <w:rsid w:val="00FC0A4A"/>
    <w:rsid w:val="00FE3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92B"/>
  </w:style>
  <w:style w:type="paragraph" w:styleId="Footer">
    <w:name w:val="footer"/>
    <w:basedOn w:val="Normal"/>
    <w:link w:val="FooterChar"/>
    <w:uiPriority w:val="99"/>
    <w:unhideWhenUsed/>
    <w:rsid w:val="0008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92B"/>
  </w:style>
  <w:style w:type="paragraph" w:styleId="NormalWeb">
    <w:name w:val="Normal (Web)"/>
    <w:basedOn w:val="Normal"/>
    <w:uiPriority w:val="99"/>
    <w:semiHidden/>
    <w:unhideWhenUsed/>
    <w:rsid w:val="00AA6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0nh2b">
    <w:name w:val="y0nh2b"/>
    <w:basedOn w:val="DefaultParagraphFont"/>
    <w:rsid w:val="006027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392B"/>
  </w:style>
  <w:style w:type="paragraph" w:styleId="Footer">
    <w:name w:val="footer"/>
    <w:basedOn w:val="Normal"/>
    <w:link w:val="FooterChar"/>
    <w:uiPriority w:val="99"/>
    <w:unhideWhenUsed/>
    <w:rsid w:val="0008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392B"/>
  </w:style>
  <w:style w:type="paragraph" w:styleId="NormalWeb">
    <w:name w:val="Normal (Web)"/>
    <w:basedOn w:val="Normal"/>
    <w:uiPriority w:val="99"/>
    <w:semiHidden/>
    <w:unhideWhenUsed/>
    <w:rsid w:val="00AA6D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0nh2b">
    <w:name w:val="y0nh2b"/>
    <w:basedOn w:val="DefaultParagraphFont"/>
    <w:rsid w:val="006027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51822">
      <w:bodyDiv w:val="1"/>
      <w:marLeft w:val="0"/>
      <w:marRight w:val="0"/>
      <w:marTop w:val="0"/>
      <w:marBottom w:val="0"/>
      <w:divBdr>
        <w:top w:val="none" w:sz="0" w:space="0" w:color="auto"/>
        <w:left w:val="none" w:sz="0" w:space="0" w:color="auto"/>
        <w:bottom w:val="none" w:sz="0" w:space="0" w:color="auto"/>
        <w:right w:val="none" w:sz="0" w:space="0" w:color="auto"/>
      </w:divBdr>
    </w:div>
    <w:div w:id="611786360">
      <w:bodyDiv w:val="1"/>
      <w:marLeft w:val="0"/>
      <w:marRight w:val="0"/>
      <w:marTop w:val="0"/>
      <w:marBottom w:val="0"/>
      <w:divBdr>
        <w:top w:val="none" w:sz="0" w:space="0" w:color="auto"/>
        <w:left w:val="none" w:sz="0" w:space="0" w:color="auto"/>
        <w:bottom w:val="none" w:sz="0" w:space="0" w:color="auto"/>
        <w:right w:val="none" w:sz="0" w:space="0" w:color="auto"/>
      </w:divBdr>
      <w:divsChild>
        <w:div w:id="1271662656">
          <w:marLeft w:val="0"/>
          <w:marRight w:val="0"/>
          <w:marTop w:val="0"/>
          <w:marBottom w:val="0"/>
          <w:divBdr>
            <w:top w:val="none" w:sz="0" w:space="0" w:color="auto"/>
            <w:left w:val="none" w:sz="0" w:space="0" w:color="auto"/>
            <w:bottom w:val="none" w:sz="0" w:space="0" w:color="auto"/>
            <w:right w:val="none" w:sz="0" w:space="0" w:color="auto"/>
          </w:divBdr>
          <w:divsChild>
            <w:div w:id="499933890">
              <w:marLeft w:val="0"/>
              <w:marRight w:val="0"/>
              <w:marTop w:val="0"/>
              <w:marBottom w:val="0"/>
              <w:divBdr>
                <w:top w:val="none" w:sz="0" w:space="0" w:color="auto"/>
                <w:left w:val="none" w:sz="0" w:space="0" w:color="auto"/>
                <w:bottom w:val="none" w:sz="0" w:space="0" w:color="auto"/>
                <w:right w:val="none" w:sz="0" w:space="0" w:color="auto"/>
              </w:divBdr>
              <w:divsChild>
                <w:div w:id="953097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169751">
          <w:marLeft w:val="0"/>
          <w:marRight w:val="0"/>
          <w:marTop w:val="0"/>
          <w:marBottom w:val="0"/>
          <w:divBdr>
            <w:top w:val="none" w:sz="0" w:space="0" w:color="auto"/>
            <w:left w:val="none" w:sz="0" w:space="0" w:color="auto"/>
            <w:bottom w:val="none" w:sz="0" w:space="0" w:color="auto"/>
            <w:right w:val="none" w:sz="0" w:space="0" w:color="auto"/>
          </w:divBdr>
          <w:divsChild>
            <w:div w:id="925261037">
              <w:marLeft w:val="0"/>
              <w:marRight w:val="0"/>
              <w:marTop w:val="0"/>
              <w:marBottom w:val="0"/>
              <w:divBdr>
                <w:top w:val="none" w:sz="0" w:space="0" w:color="auto"/>
                <w:left w:val="none" w:sz="0" w:space="0" w:color="auto"/>
                <w:bottom w:val="none" w:sz="0" w:space="0" w:color="auto"/>
                <w:right w:val="none" w:sz="0" w:space="0" w:color="auto"/>
              </w:divBdr>
              <w:divsChild>
                <w:div w:id="1570920382">
                  <w:marLeft w:val="0"/>
                  <w:marRight w:val="0"/>
                  <w:marTop w:val="0"/>
                  <w:marBottom w:val="0"/>
                  <w:divBdr>
                    <w:top w:val="none" w:sz="0" w:space="0" w:color="auto"/>
                    <w:left w:val="none" w:sz="0" w:space="0" w:color="auto"/>
                    <w:bottom w:val="none" w:sz="0" w:space="0" w:color="auto"/>
                    <w:right w:val="none" w:sz="0" w:space="0" w:color="auto"/>
                  </w:divBdr>
                  <w:divsChild>
                    <w:div w:id="944116276">
                      <w:marLeft w:val="0"/>
                      <w:marRight w:val="0"/>
                      <w:marTop w:val="0"/>
                      <w:marBottom w:val="0"/>
                      <w:divBdr>
                        <w:top w:val="none" w:sz="0" w:space="0" w:color="auto"/>
                        <w:left w:val="none" w:sz="0" w:space="0" w:color="auto"/>
                        <w:bottom w:val="none" w:sz="0" w:space="0" w:color="auto"/>
                        <w:right w:val="none" w:sz="0" w:space="0" w:color="auto"/>
                      </w:divBdr>
                      <w:divsChild>
                        <w:div w:id="945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1297</Words>
  <Characters>7396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Mutuku</dc:creator>
  <cp:lastModifiedBy>Mutuku</cp:lastModifiedBy>
  <cp:revision>2</cp:revision>
  <dcterms:created xsi:type="dcterms:W3CDTF">2018-05-08T17:09:00Z</dcterms:created>
  <dcterms:modified xsi:type="dcterms:W3CDTF">2018-05-08T17:09:00Z</dcterms:modified>
</cp:coreProperties>
</file>