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7A7" w:rsidRPr="009007A7" w:rsidRDefault="009007A7" w:rsidP="009007A7">
      <w:pPr>
        <w:spacing w:line="480" w:lineRule="auto"/>
        <w:rPr>
          <w:rFonts w:ascii="Times New Roman" w:hAnsi="Times New Roman" w:cs="Times New Roman"/>
          <w:sz w:val="24"/>
          <w:szCs w:val="24"/>
        </w:rPr>
      </w:pPr>
      <w:bookmarkStart w:id="0" w:name="_GoBack"/>
      <w:bookmarkEnd w:id="0"/>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jc w:val="center"/>
        <w:rPr>
          <w:rFonts w:ascii="Times New Roman" w:hAnsi="Times New Roman" w:cs="Times New Roman"/>
          <w:sz w:val="24"/>
          <w:szCs w:val="24"/>
        </w:rPr>
      </w:pPr>
      <w:r w:rsidRPr="009007A7">
        <w:rPr>
          <w:rFonts w:ascii="Times New Roman" w:hAnsi="Times New Roman" w:cs="Times New Roman"/>
          <w:sz w:val="24"/>
          <w:szCs w:val="24"/>
        </w:rPr>
        <w:t>McCarthyism</w:t>
      </w:r>
    </w:p>
    <w:p w:rsidR="009007A7" w:rsidRPr="009007A7" w:rsidRDefault="009007A7" w:rsidP="009007A7">
      <w:pPr>
        <w:spacing w:line="480" w:lineRule="auto"/>
        <w:jc w:val="center"/>
        <w:rPr>
          <w:rFonts w:ascii="Times New Roman" w:hAnsi="Times New Roman" w:cs="Times New Roman"/>
          <w:sz w:val="24"/>
          <w:szCs w:val="24"/>
        </w:rPr>
      </w:pPr>
      <w:r w:rsidRPr="009007A7">
        <w:rPr>
          <w:rFonts w:ascii="Times New Roman" w:hAnsi="Times New Roman" w:cs="Times New Roman"/>
          <w:sz w:val="24"/>
          <w:szCs w:val="24"/>
        </w:rPr>
        <w:t>Name</w:t>
      </w:r>
    </w:p>
    <w:p w:rsidR="009007A7" w:rsidRPr="009007A7" w:rsidRDefault="009007A7" w:rsidP="009007A7">
      <w:pPr>
        <w:spacing w:line="480" w:lineRule="auto"/>
        <w:jc w:val="center"/>
        <w:rPr>
          <w:rFonts w:ascii="Times New Roman" w:hAnsi="Times New Roman" w:cs="Times New Roman"/>
          <w:sz w:val="24"/>
          <w:szCs w:val="24"/>
        </w:rPr>
      </w:pPr>
      <w:r w:rsidRPr="009007A7">
        <w:rPr>
          <w:rFonts w:ascii="Times New Roman" w:hAnsi="Times New Roman" w:cs="Times New Roman"/>
          <w:sz w:val="24"/>
          <w:szCs w:val="24"/>
        </w:rPr>
        <w:t>Institution</w:t>
      </w:r>
    </w:p>
    <w:p w:rsidR="009007A7" w:rsidRPr="009007A7" w:rsidRDefault="009007A7" w:rsidP="009007A7">
      <w:pPr>
        <w:spacing w:line="480" w:lineRule="auto"/>
        <w:jc w:val="center"/>
        <w:rPr>
          <w:rFonts w:ascii="Times New Roman" w:hAnsi="Times New Roman" w:cs="Times New Roman"/>
          <w:sz w:val="24"/>
          <w:szCs w:val="24"/>
        </w:rPr>
      </w:pPr>
      <w:r w:rsidRPr="009007A7">
        <w:rPr>
          <w:rFonts w:ascii="Times New Roman" w:hAnsi="Times New Roman" w:cs="Times New Roman"/>
          <w:sz w:val="24"/>
          <w:szCs w:val="24"/>
        </w:rPr>
        <w:t>Date</w:t>
      </w: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Pr="009007A7" w:rsidRDefault="009007A7" w:rsidP="009007A7">
      <w:pPr>
        <w:spacing w:line="480" w:lineRule="auto"/>
        <w:rPr>
          <w:rFonts w:ascii="Times New Roman" w:hAnsi="Times New Roman" w:cs="Times New Roman"/>
          <w:sz w:val="24"/>
          <w:szCs w:val="24"/>
        </w:rPr>
      </w:pPr>
    </w:p>
    <w:p w:rsidR="009007A7" w:rsidRDefault="009007A7" w:rsidP="009007A7">
      <w:pPr>
        <w:spacing w:line="480" w:lineRule="auto"/>
        <w:rPr>
          <w:rFonts w:ascii="Times New Roman" w:hAnsi="Times New Roman" w:cs="Times New Roman"/>
          <w:sz w:val="24"/>
          <w:szCs w:val="24"/>
        </w:rPr>
      </w:pPr>
    </w:p>
    <w:p w:rsidR="00A96C73" w:rsidRPr="009007A7" w:rsidRDefault="00A96C73" w:rsidP="009007A7">
      <w:pPr>
        <w:spacing w:line="480" w:lineRule="auto"/>
        <w:jc w:val="center"/>
        <w:rPr>
          <w:rFonts w:ascii="Times New Roman" w:hAnsi="Times New Roman" w:cs="Times New Roman"/>
          <w:sz w:val="24"/>
          <w:szCs w:val="24"/>
        </w:rPr>
      </w:pPr>
      <w:r w:rsidRPr="009007A7">
        <w:rPr>
          <w:rFonts w:ascii="Times New Roman" w:hAnsi="Times New Roman" w:cs="Times New Roman"/>
          <w:sz w:val="24"/>
          <w:szCs w:val="24"/>
        </w:rPr>
        <w:lastRenderedPageBreak/>
        <w:t>McCarthyism</w:t>
      </w:r>
    </w:p>
    <w:p w:rsidR="00A96C73" w:rsidRPr="009007A7" w:rsidRDefault="00A96C73" w:rsidP="00CC4878">
      <w:pPr>
        <w:spacing w:line="480" w:lineRule="auto"/>
        <w:jc w:val="center"/>
        <w:rPr>
          <w:rFonts w:ascii="Times New Roman" w:hAnsi="Times New Roman" w:cs="Times New Roman"/>
          <w:b/>
          <w:sz w:val="24"/>
          <w:szCs w:val="24"/>
        </w:rPr>
      </w:pPr>
      <w:r w:rsidRPr="009007A7">
        <w:rPr>
          <w:rFonts w:ascii="Times New Roman" w:hAnsi="Times New Roman" w:cs="Times New Roman"/>
          <w:b/>
          <w:sz w:val="24"/>
          <w:szCs w:val="24"/>
        </w:rPr>
        <w:t>Origins of the Cold War</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Cold War happened after World War II, and it was fought by the United States and the Soviet Union and their allies. Cold War involved a few cases of use of weapons and was mostly based on economic and political invasions. Messer (2017), asserts that after Nazi Germany gave up at the end of World War II, political tension began to emerge between the United Nations, the Soviet Union, and Great Britain. In 1948, the Soviet Union began to empower itself in the Eastern part of Europe by initiating left-wing governments to countries that had been freed by the Red Army. As a result, the United States and Great Britain became wary of the Soviets domination of Eastern Europe and feared the emergence of communism in Western Europe, which was majorly dominated by the Americans and the British. The Soviet Union became more focused on dominating Eastern Europe in order to avert any threat from Germany and spread communism worldwide.</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 xml:space="preserve">The installation of communism in Eastern Europe by the Soviets and the bringing together of Western Europe under American influence by the United States aid, provided by the Marshal Plan, spurred the Cold War between 1947 and 1948. From 1948 to 1953, the Cold War had reached its epitome whereby the Soviet Union efforts to blockade West Berlin were in vain, the Americans and their Allies formed the National Atlantic Treaty Organization (NATO) and the Eastern Europe formed a joint military to resist the Soviets (Judge &amp; Langdon, 2017). Additionally, the United States monopoly of the atomic bomb came to an end when the Soviet Union unleashed its first atomic bomb in 1949, and Chinese communists ascended to power in China. The United States extended its support to South Korea while the Soviets backed North </w:t>
      </w:r>
      <w:r w:rsidRPr="009007A7">
        <w:rPr>
          <w:rFonts w:ascii="Times New Roman" w:hAnsi="Times New Roman" w:cs="Times New Roman"/>
          <w:sz w:val="24"/>
          <w:szCs w:val="24"/>
        </w:rPr>
        <w:lastRenderedPageBreak/>
        <w:t>Korea, bringing to an end to the Korean War. Following the death of Joseph Stalin in 1953, a Soviet dictator for a long time, the tensions of the Cold War eased.</w:t>
      </w:r>
    </w:p>
    <w:p w:rsidR="00A96C73" w:rsidRPr="009007A7" w:rsidRDefault="00A96C73" w:rsidP="00CC4878">
      <w:pPr>
        <w:spacing w:line="480" w:lineRule="auto"/>
        <w:jc w:val="center"/>
        <w:rPr>
          <w:rFonts w:ascii="Times New Roman" w:hAnsi="Times New Roman" w:cs="Times New Roman"/>
          <w:b/>
          <w:sz w:val="24"/>
          <w:szCs w:val="24"/>
        </w:rPr>
      </w:pPr>
      <w:r w:rsidRPr="009007A7">
        <w:rPr>
          <w:rFonts w:ascii="Times New Roman" w:hAnsi="Times New Roman" w:cs="Times New Roman"/>
          <w:b/>
          <w:sz w:val="24"/>
          <w:szCs w:val="24"/>
        </w:rPr>
        <w:t>Development of communism or McCarthyism in the US</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The Cold War between the United States and the Soviet Union resulted in political and economic invasions to the involved parties. Following the extreme rivalry between the Soviet Union and the United States, there were concerns that sympathizers of the communists and leftists in the United States were acting as spies of the Soviet Union and hence posing a security threat to the United States of America. Draper (2017), noted that the Red Scare was also associated with the development of communism in the United States, whereby communists were regarded as Reds due to their loyalty to the Soviet Red flag. During the Red Scare, there was vetting of the federal employees in order to determine their loyalty to the government. The then United States senator, McCarthy also undertook investigations to identify alleged subversive individuals in the government. The first Red Scare, which had begun after World War I, resulted in the rise of communism in the United States.</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 xml:space="preserve">The United States experienced labor strikes that the state alleged were caused by the immigrants who were on a mission to interrupt the American culture. Consequently, the Sedition Act of 1918 was signed to government critics and leaders of labor unions, and this move was not welcomed by some Americans and immigrants who were behind communism in America, resulting in a series of clashes. The Hollywood Film Industry in the United States also contributed to communism since it drew attention by creating the Hollywood Blacklists that barred immigrants from employment (Harris, 2019). The United States communism was also contributed by international events. For instance, in 1949, the Soviets set a nuclear bomb in China that saw Mao Zedong, a communist assume to power in China, and as a result, the Korean </w:t>
      </w:r>
      <w:r w:rsidRPr="009007A7">
        <w:rPr>
          <w:rFonts w:ascii="Times New Roman" w:hAnsi="Times New Roman" w:cs="Times New Roman"/>
          <w:sz w:val="24"/>
          <w:szCs w:val="24"/>
        </w:rPr>
        <w:lastRenderedPageBreak/>
        <w:t>War took effect and which involved American troops against communist forces of North Korea. The presence of communism around the world convinced the Americans that, Soviets taking over the Americas was a real deal.</w:t>
      </w:r>
    </w:p>
    <w:p w:rsidR="00A96C73" w:rsidRPr="009007A7" w:rsidRDefault="00A96C73" w:rsidP="00CC4878">
      <w:pPr>
        <w:spacing w:line="480" w:lineRule="auto"/>
        <w:jc w:val="center"/>
        <w:rPr>
          <w:rFonts w:ascii="Times New Roman" w:hAnsi="Times New Roman" w:cs="Times New Roman"/>
          <w:b/>
          <w:sz w:val="24"/>
          <w:szCs w:val="24"/>
        </w:rPr>
      </w:pPr>
      <w:r w:rsidRPr="009007A7">
        <w:rPr>
          <w:rFonts w:ascii="Times New Roman" w:hAnsi="Times New Roman" w:cs="Times New Roman"/>
          <w:b/>
          <w:sz w:val="24"/>
          <w:szCs w:val="24"/>
        </w:rPr>
        <w:t>McCarthy and his Senate committee</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During his second term as senator in 1953, McCarthy was elected to chair the Senate Committee on Government Operations. The senate committee on Government Operations composed of the Senate Permanent Subcommittee on Investigations, which McCarthy relied on to conduct personal investigations of subversive communist elements in the federal government. McCarthy appointed Roy Cohn and Robert Kennedy as chief counsel and assistant counsel, respectively, to the subcommittee. The first mandate of the subcommittee was to investigate communist presence in the Voice of America (VOA). Many employees of Voice of America were questioned before television cameras and public galleries with McCarthy using false allegations. The finding was that few personnel revealed communist influence on broadcast content though no charges were substantiated. The action of investigating Voice of America demoralized its personnel and even contributed to the demise of one engineer who committed suicide. The broadcast policy advisor, Kretzman, concluded that McCarthy and Roy Cohn were aiming at muffling the news broadcaster (Markwell, 2017).</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 xml:space="preserve">The subcommittee also conducted foreign investigation whereby its chief counsel turned to the foreign library program, a subsidiary of the International Information Agency. Cohn visited Europe to investigate State Department libraries, whereby he was identifying the author's work, which he termed as inappropriate. McCarthy presented a list of supposedly communist authors before the press and the subcommittee. Consequently, the State Department heeded to McCarthy's call and removed any reading material by controversial authors and communists </w:t>
      </w:r>
      <w:r w:rsidRPr="009007A7">
        <w:rPr>
          <w:rFonts w:ascii="Times New Roman" w:hAnsi="Times New Roman" w:cs="Times New Roman"/>
          <w:sz w:val="24"/>
          <w:szCs w:val="24"/>
        </w:rPr>
        <w:lastRenderedPageBreak/>
        <w:t>from the library shelves (Eisele, Sandbro</w:t>
      </w:r>
      <w:r w:rsidR="00D86487" w:rsidRPr="009007A7">
        <w:rPr>
          <w:rFonts w:ascii="Times New Roman" w:hAnsi="Times New Roman" w:cs="Times New Roman"/>
          <w:sz w:val="24"/>
          <w:szCs w:val="24"/>
        </w:rPr>
        <w:t>ok &amp; Stavis, 2017). McCarthy had</w:t>
      </w:r>
      <w:r w:rsidRPr="009007A7">
        <w:rPr>
          <w:rFonts w:ascii="Times New Roman" w:hAnsi="Times New Roman" w:cs="Times New Roman"/>
          <w:sz w:val="24"/>
          <w:szCs w:val="24"/>
        </w:rPr>
        <w:t xml:space="preserve"> also appointed Matthews as the staff director of his subcommittee. Matthews was a robust anticommunist, and his appointment triggered some controversies when it was realized that he had written the article, Reds and Our Churches</w:t>
      </w:r>
      <w:r w:rsidR="00B859E9" w:rsidRPr="009007A7">
        <w:rPr>
          <w:rFonts w:ascii="Times New Roman" w:hAnsi="Times New Roman" w:cs="Times New Roman"/>
          <w:sz w:val="24"/>
          <w:szCs w:val="24"/>
        </w:rPr>
        <w:t>,</w:t>
      </w:r>
      <w:r w:rsidRPr="009007A7">
        <w:rPr>
          <w:rFonts w:ascii="Times New Roman" w:hAnsi="Times New Roman" w:cs="Times New Roman"/>
          <w:sz w:val="24"/>
          <w:szCs w:val="24"/>
        </w:rPr>
        <w:t xml:space="preserve"> whose opening remarks stated that the biggest group that backed communist in America was comprised of Protestant Clergymen. Some senators were startled by the remarks and ordered McCarthy to let go of Matthews, who first hesitated. Finally, McCarthy appended his resignation, and his critics alluded that this was a defeat to the senator.</w:t>
      </w:r>
    </w:p>
    <w:p w:rsidR="00A96C73" w:rsidRPr="009007A7" w:rsidRDefault="00A96C73" w:rsidP="00CC4878">
      <w:pPr>
        <w:spacing w:line="480" w:lineRule="auto"/>
        <w:jc w:val="center"/>
        <w:rPr>
          <w:rFonts w:ascii="Times New Roman" w:hAnsi="Times New Roman" w:cs="Times New Roman"/>
          <w:b/>
          <w:sz w:val="24"/>
          <w:szCs w:val="24"/>
        </w:rPr>
      </w:pPr>
      <w:r w:rsidRPr="009007A7">
        <w:rPr>
          <w:rFonts w:ascii="Times New Roman" w:hAnsi="Times New Roman" w:cs="Times New Roman"/>
          <w:b/>
          <w:sz w:val="24"/>
          <w:szCs w:val="24"/>
        </w:rPr>
        <w:t>HUAC- The House Un-American Activities Committee</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 xml:space="preserve">HUAC, established in 1938, was a committee of the House of Representatives in the United States that was formed to investigate communist allegations that had intensified during the Great Depression. Through its formation, the committee was viewed as a source of political dissonance with its supporters, arguing that it was </w:t>
      </w:r>
      <w:r w:rsidR="00B859E9" w:rsidRPr="009007A7">
        <w:rPr>
          <w:rFonts w:ascii="Times New Roman" w:hAnsi="Times New Roman" w:cs="Times New Roman"/>
          <w:sz w:val="24"/>
          <w:szCs w:val="24"/>
        </w:rPr>
        <w:t xml:space="preserve">to unveil </w:t>
      </w:r>
      <w:r w:rsidRPr="009007A7">
        <w:rPr>
          <w:rFonts w:ascii="Times New Roman" w:hAnsi="Times New Roman" w:cs="Times New Roman"/>
          <w:sz w:val="24"/>
          <w:szCs w:val="24"/>
        </w:rPr>
        <w:t>critical information that improved national security while the critics claimed that it was a partisan move that undermined the efforts of Franklin Roosevelt. Doherty (2017), notes that after 1947, the committee gained prominence and became its members became notorious, and the United States' citizens were required to testify in cases of high profiles at the Congress. The committee used intimidations and produced doubtful revelations concerning communists leading American institutions such as in Hollywood entertainment and schools. The use of controversial tactics by the committee caused distrust, fear, and uproar among the anticommunists.</w:t>
      </w:r>
    </w:p>
    <w:p w:rsidR="00A96C73" w:rsidRPr="009007A7" w:rsidRDefault="00A96C73" w:rsidP="00CC4878">
      <w:pPr>
        <w:spacing w:line="480" w:lineRule="auto"/>
        <w:jc w:val="center"/>
        <w:rPr>
          <w:rFonts w:ascii="Times New Roman" w:hAnsi="Times New Roman" w:cs="Times New Roman"/>
          <w:b/>
          <w:sz w:val="24"/>
          <w:szCs w:val="24"/>
        </w:rPr>
      </w:pPr>
      <w:r w:rsidRPr="009007A7">
        <w:rPr>
          <w:rFonts w:ascii="Times New Roman" w:hAnsi="Times New Roman" w:cs="Times New Roman"/>
          <w:b/>
          <w:sz w:val="24"/>
          <w:szCs w:val="24"/>
        </w:rPr>
        <w:t>Differences between HUAC and McCarthy's committee</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 xml:space="preserve">The House Un-American Activities committee used intimidation methods to acquire information from its respondents, while McCarthy's committee used engaging ways such as </w:t>
      </w:r>
      <w:r w:rsidRPr="009007A7">
        <w:rPr>
          <w:rFonts w:ascii="Times New Roman" w:hAnsi="Times New Roman" w:cs="Times New Roman"/>
          <w:sz w:val="24"/>
          <w:szCs w:val="24"/>
        </w:rPr>
        <w:lastRenderedPageBreak/>
        <w:t xml:space="preserve">being questioned in front of television cameras and through public galleries to gather information. With the McCarthy's committee, interviewees were willing and did not fear to reveal important information regarding communism while in the use of controversial techniques by the HUAC members caused distrust, fear, and repression among its respondents. The members of the HUAC were also notorious and disrespectful. The HUAC was perceived to be political. For instance, anyone who complained about the suspicions of the committee was ordered to appear before it (Eisele, Sandbrook &amp; Stavis, 2017). Upon the hearing, the individual was questioned about his or her political beliefs and was also required to identify other individuals who had engaged in subversive activities, and if they failed to respond to the committees inquiries or to give out different names, they were sent to prison and, this was contrary to the McCarthy's neutral committee. Those who failed to cooperate during HUAC meetings were blacklisted by their employers; they even lost their current job opportunities and could not access any employment opportunity. In McCarthy's committee, employees who failed to cooperate were allowed to continue with their jobs and could access any employment in their industry of choice. </w:t>
      </w:r>
    </w:p>
    <w:p w:rsidR="00A96C73" w:rsidRPr="009007A7" w:rsidRDefault="00A96C73" w:rsidP="00CC4878">
      <w:pPr>
        <w:spacing w:line="480" w:lineRule="auto"/>
        <w:jc w:val="center"/>
        <w:rPr>
          <w:rFonts w:ascii="Times New Roman" w:hAnsi="Times New Roman" w:cs="Times New Roman"/>
          <w:b/>
          <w:sz w:val="24"/>
          <w:szCs w:val="24"/>
        </w:rPr>
      </w:pPr>
      <w:r w:rsidRPr="009007A7">
        <w:rPr>
          <w:rFonts w:ascii="Times New Roman" w:hAnsi="Times New Roman" w:cs="Times New Roman"/>
          <w:b/>
          <w:sz w:val="24"/>
          <w:szCs w:val="24"/>
        </w:rPr>
        <w:t>Blacklisting</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Respondents who decried to cooperate with the House Un-American Activities Committee were blacklisted by their employers and consequently lost their jobs and were even barred from working in any industry of their choice. Most executives of the film industry did not talk about the House Un-American Activities Committee investigations because they feared to get into confrontations with Congress. Additionally, the executives did not want their movies to get into the public because this would automatically result in being blacklisted, and the above actions prove</w:t>
      </w:r>
      <w:r w:rsidR="00B859E9" w:rsidRPr="009007A7">
        <w:rPr>
          <w:rFonts w:ascii="Times New Roman" w:hAnsi="Times New Roman" w:cs="Times New Roman"/>
          <w:sz w:val="24"/>
          <w:szCs w:val="24"/>
        </w:rPr>
        <w:t>d</w:t>
      </w:r>
      <w:r w:rsidRPr="009007A7">
        <w:rPr>
          <w:rFonts w:ascii="Times New Roman" w:hAnsi="Times New Roman" w:cs="Times New Roman"/>
          <w:sz w:val="24"/>
          <w:szCs w:val="24"/>
        </w:rPr>
        <w:t xml:space="preserve"> that HUAC deprived people of their freedom of speech. According to Doherty </w:t>
      </w:r>
      <w:r w:rsidRPr="009007A7">
        <w:rPr>
          <w:rFonts w:ascii="Times New Roman" w:hAnsi="Times New Roman" w:cs="Times New Roman"/>
          <w:sz w:val="24"/>
          <w:szCs w:val="24"/>
        </w:rPr>
        <w:lastRenderedPageBreak/>
        <w:t>(2017), the investigations of the film industry epitomized with the drama that unfolded the Hollywood Ten, which was a male group composed of directors, writers, and producers. The members of the Hollywood Ten failed to cooperate with HUAC investigations and took advantage of their appearance before the committee to condemn its use of uncouth tactics. The results were that all the members of the Hollywood Ten were charged with contempt of Congress and were imprisoned and subsequently blacklisted from working in Hollywood.</w:t>
      </w:r>
    </w:p>
    <w:p w:rsidR="00A96C73" w:rsidRPr="009007A7" w:rsidRDefault="00A96C73" w:rsidP="00CC4878">
      <w:pPr>
        <w:spacing w:line="480" w:lineRule="auto"/>
        <w:jc w:val="center"/>
        <w:rPr>
          <w:rFonts w:ascii="Times New Roman" w:hAnsi="Times New Roman" w:cs="Times New Roman"/>
          <w:b/>
          <w:sz w:val="24"/>
          <w:szCs w:val="24"/>
        </w:rPr>
      </w:pPr>
      <w:r w:rsidRPr="009007A7">
        <w:rPr>
          <w:rFonts w:ascii="Times New Roman" w:hAnsi="Times New Roman" w:cs="Times New Roman"/>
          <w:b/>
          <w:sz w:val="24"/>
          <w:szCs w:val="24"/>
        </w:rPr>
        <w:t>Richard Nixon and HUAC</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 xml:space="preserve">Richard Nixon was a member of the House Un-American Activities Committee that was established to investigate communism allegations in the United States. In 1948, HUAC heard a case that informed people of the problem that communism posed to them. The case was about a group that aimed at infiltrating the government of the United States. What shocked Nixon was the revelation of Alger Hiss as a member of the group. Alger Hiss was amongst the United States' accomplished statesmen and who had earned himself an incredible reputation in the nation. Hiss's eloquent denial of the allegations convinced many citizens that he was innocent. Nixon defied the speech by Hiss and promised to continue with investigations probably after the elections of 1948 (Gellman, 2017).  Nixon identified some discrepancies in the testimony by Hiss and continued to challenge Hiss and his co-accused, Chambers. Nixon </w:t>
      </w:r>
      <w:r w:rsidR="00D135FE" w:rsidRPr="009007A7">
        <w:rPr>
          <w:rFonts w:ascii="Times New Roman" w:hAnsi="Times New Roman" w:cs="Times New Roman"/>
          <w:sz w:val="24"/>
          <w:szCs w:val="24"/>
        </w:rPr>
        <w:t>was surprised by Hiss because</w:t>
      </w:r>
      <w:r w:rsidRPr="009007A7">
        <w:rPr>
          <w:rFonts w:ascii="Times New Roman" w:hAnsi="Times New Roman" w:cs="Times New Roman"/>
          <w:sz w:val="24"/>
          <w:szCs w:val="24"/>
        </w:rPr>
        <w:t xml:space="preserve"> Hiss knew that supporting communism was against the position of the United States on communism. A month after Hiss's conviction, Joseph McCarthy, then a United States senator, called for a press briefing claiming that he had listed all the known communist members. Nixon became skeptical of McCarthy's allegations because the senator had no experience in dealing with communists. Following McCarthy's accusations, Nixon became wary that he would </w:t>
      </w:r>
      <w:r w:rsidRPr="009007A7">
        <w:rPr>
          <w:rFonts w:ascii="Times New Roman" w:hAnsi="Times New Roman" w:cs="Times New Roman"/>
          <w:sz w:val="24"/>
          <w:szCs w:val="24"/>
        </w:rPr>
        <w:lastRenderedPageBreak/>
        <w:t>become irrelevant and hence find it difficult to pursuit communists with objectivity and accuracy. Nixon advised McCarthy to consider the real security issues posed by communism.</w:t>
      </w:r>
    </w:p>
    <w:p w:rsidR="00A96C73" w:rsidRPr="009007A7" w:rsidRDefault="00A96C73" w:rsidP="00CC4878">
      <w:pPr>
        <w:spacing w:line="480" w:lineRule="auto"/>
        <w:jc w:val="center"/>
        <w:rPr>
          <w:rFonts w:ascii="Times New Roman" w:hAnsi="Times New Roman" w:cs="Times New Roman"/>
          <w:b/>
          <w:sz w:val="24"/>
          <w:szCs w:val="24"/>
        </w:rPr>
      </w:pPr>
      <w:r w:rsidRPr="009007A7">
        <w:rPr>
          <w:rFonts w:ascii="Times New Roman" w:hAnsi="Times New Roman" w:cs="Times New Roman"/>
          <w:b/>
          <w:sz w:val="24"/>
          <w:szCs w:val="24"/>
        </w:rPr>
        <w:t>What happened to McCarthy?</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 xml:space="preserve">The Army-McCarthy hearings led to the fall of Joseph McCarthy. The Army-McCarthy hearings were conducted by the United States' Senate Subcommittee on Investigations to determine conflicting allegations between the United States Army and senator Joseph McCarthy. The Army had accused the committee counsel, Roy Cohn, of mounting pressure on the Army to accord special treatment to David Schine, a former aide of McCarthy. The senator, McCarthy, alleged that the accusations were not made in good faith, and it was a way of silencing him from his aggressive investigations on communism and the security risks that communism presented to the security of the Americans. The hearings, which were set for the 16th of March, 1954, attracted media attention and were aired live on television. The media that had made McCarthy famous also contributed to his downfall (Eisele, Sandbrook &amp; Stavis, 2017). </w:t>
      </w:r>
    </w:p>
    <w:p w:rsidR="00A96C73" w:rsidRPr="009007A7" w:rsidRDefault="00A96C73" w:rsidP="009007A7">
      <w:pPr>
        <w:spacing w:line="480" w:lineRule="auto"/>
        <w:ind w:firstLine="720"/>
        <w:rPr>
          <w:rFonts w:ascii="Times New Roman" w:hAnsi="Times New Roman" w:cs="Times New Roman"/>
          <w:sz w:val="24"/>
          <w:szCs w:val="24"/>
        </w:rPr>
      </w:pPr>
      <w:r w:rsidRPr="009007A7">
        <w:rPr>
          <w:rFonts w:ascii="Times New Roman" w:hAnsi="Times New Roman" w:cs="Times New Roman"/>
          <w:sz w:val="24"/>
          <w:szCs w:val="24"/>
        </w:rPr>
        <w:t xml:space="preserve">The hearings began with McCarthy making allegations of Army officers not responding to inquiries about their political affiliations and activities. Lieutenant colonel Chester Brown, one of the Army officers, failed to respond to the allegations. McCarthy responded by claiming that any police officer who hesitated to give information to a senate committee that represented Americans, then he or she was not qualified to wear the uniform of that country. According to Raymond (2018), McCarthy progressed by interrogating a Brigadier General and termed him as a disgrace to the uniform he wore. The attorney for the US Army did not allow McCarthy to proceed with his disrespectful comments. President Eisenhower and the rest of the senate concurred with the attorney of the Army, and the senate, in 1954, censured McCarthy on charges of violating legislative powers. The senator remained in office but had no power. Senator John </w:t>
      </w:r>
      <w:r w:rsidRPr="009007A7">
        <w:rPr>
          <w:rFonts w:ascii="Times New Roman" w:hAnsi="Times New Roman" w:cs="Times New Roman"/>
          <w:sz w:val="24"/>
          <w:szCs w:val="24"/>
        </w:rPr>
        <w:lastRenderedPageBreak/>
        <w:t>McClellan replaced McCarthy in the head of the Senate Subcommittee on Investigations. McCarthy continued with his fight for anti-communism and later became an alcoholic and eventually died of Acute Hepatitis on the 2nd of May 1957, aged 48 years old.</w:t>
      </w:r>
    </w:p>
    <w:p w:rsidR="009007A7" w:rsidRPr="009007A7" w:rsidRDefault="009007A7" w:rsidP="009007A7">
      <w:pPr>
        <w:spacing w:line="480" w:lineRule="auto"/>
        <w:ind w:left="720" w:hanging="720"/>
        <w:rPr>
          <w:rFonts w:ascii="Times New Roman" w:hAnsi="Times New Roman" w:cs="Times New Roman"/>
          <w:sz w:val="24"/>
          <w:szCs w:val="24"/>
        </w:rPr>
      </w:pPr>
    </w:p>
    <w:p w:rsidR="009007A7" w:rsidRPr="009007A7" w:rsidRDefault="009007A7" w:rsidP="009007A7">
      <w:pPr>
        <w:spacing w:line="480" w:lineRule="auto"/>
        <w:ind w:left="720" w:hanging="720"/>
        <w:rPr>
          <w:rFonts w:ascii="Times New Roman" w:hAnsi="Times New Roman" w:cs="Times New Roman"/>
          <w:sz w:val="24"/>
          <w:szCs w:val="24"/>
        </w:rPr>
      </w:pPr>
    </w:p>
    <w:p w:rsidR="009007A7" w:rsidRPr="009007A7" w:rsidRDefault="009007A7" w:rsidP="009007A7">
      <w:pPr>
        <w:spacing w:line="480" w:lineRule="auto"/>
        <w:ind w:left="720" w:hanging="720"/>
        <w:rPr>
          <w:rFonts w:ascii="Times New Roman" w:hAnsi="Times New Roman" w:cs="Times New Roman"/>
          <w:sz w:val="24"/>
          <w:szCs w:val="24"/>
        </w:rPr>
      </w:pPr>
    </w:p>
    <w:p w:rsidR="009007A7" w:rsidRP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Default="009007A7" w:rsidP="009007A7">
      <w:pPr>
        <w:spacing w:line="480" w:lineRule="auto"/>
        <w:ind w:left="720" w:hanging="720"/>
        <w:rPr>
          <w:rFonts w:ascii="Times New Roman" w:hAnsi="Times New Roman" w:cs="Times New Roman"/>
          <w:sz w:val="24"/>
          <w:szCs w:val="24"/>
        </w:rPr>
      </w:pPr>
    </w:p>
    <w:p w:rsidR="009007A7" w:rsidRPr="009007A7" w:rsidRDefault="009007A7" w:rsidP="009007A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Doherty, T. (2018). Show Trial: Hollywood, HUAC, and the Birth of the Blackl</w:t>
      </w:r>
      <w:r>
        <w:rPr>
          <w:rFonts w:ascii="Times New Roman" w:hAnsi="Times New Roman" w:cs="Times New Roman"/>
          <w:sz w:val="24"/>
          <w:szCs w:val="24"/>
        </w:rPr>
        <w:t>ist. Columbia University Press.</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Draper, T. (2017). American Communism and Soviet Russia. Routledge.</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Eisele, A., Sandbrook, D., &amp; Stavis, B. (2017). 470 McCarthyism. AMERI</w:t>
      </w:r>
      <w:r w:rsidR="003E717E">
        <w:rPr>
          <w:rFonts w:ascii="Times New Roman" w:hAnsi="Times New Roman" w:cs="Times New Roman"/>
          <w:sz w:val="24"/>
          <w:szCs w:val="24"/>
        </w:rPr>
        <w:t>CAN</w:t>
      </w:r>
      <w:r w:rsidRPr="009007A7">
        <w:rPr>
          <w:rFonts w:ascii="Times New Roman" w:hAnsi="Times New Roman" w:cs="Times New Roman"/>
          <w:sz w:val="24"/>
          <w:szCs w:val="24"/>
        </w:rPr>
        <w:t>.</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Gellman, I. F. (2017). The Contender: Richard Nixo</w:t>
      </w:r>
      <w:r w:rsidR="003E717E">
        <w:rPr>
          <w:rFonts w:ascii="Times New Roman" w:hAnsi="Times New Roman" w:cs="Times New Roman"/>
          <w:sz w:val="24"/>
          <w:szCs w:val="24"/>
        </w:rPr>
        <w:t>n, the Congress Years</w:t>
      </w:r>
      <w:r w:rsidRPr="009007A7">
        <w:rPr>
          <w:rFonts w:ascii="Times New Roman" w:hAnsi="Times New Roman" w:cs="Times New Roman"/>
          <w:sz w:val="24"/>
          <w:szCs w:val="24"/>
        </w:rPr>
        <w:t>. Yale University Press.</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Harris, R. L. (2019). Marxism, socialism, and democracy in Latin America. Routledge.</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Judge, E. H., &amp; Langdon, J. W. (2017). A Hard and Bitter Peace: A Global History of the Cold War. Rowman &amp; Littlefield.</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Markwell, A. (2017). Not Fake News: The New York Times and Senator Joseph McC</w:t>
      </w:r>
      <w:r w:rsidR="003E717E">
        <w:rPr>
          <w:rFonts w:ascii="Times New Roman" w:hAnsi="Times New Roman" w:cs="Times New Roman"/>
          <w:sz w:val="24"/>
          <w:szCs w:val="24"/>
        </w:rPr>
        <w:t>arthy. The Alexandrian.</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McGilligan, P. (2018). Show Trial: Hollywood, HUAC, and the Birth of the Blacklist.</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Messer, R. L. (2017). The End of an Alliance: James F. Byrnes, Roosevelt, Truman, and the Origins of the Cold War. UNC Press Books.</w:t>
      </w:r>
    </w:p>
    <w:p w:rsidR="009007A7" w:rsidRPr="009007A7" w:rsidRDefault="009007A7" w:rsidP="009007A7">
      <w:pPr>
        <w:spacing w:line="480" w:lineRule="auto"/>
        <w:ind w:left="720" w:hanging="720"/>
        <w:rPr>
          <w:rFonts w:ascii="Times New Roman" w:hAnsi="Times New Roman" w:cs="Times New Roman"/>
          <w:sz w:val="24"/>
          <w:szCs w:val="24"/>
        </w:rPr>
      </w:pPr>
      <w:r w:rsidRPr="009007A7">
        <w:rPr>
          <w:rFonts w:ascii="Times New Roman" w:hAnsi="Times New Roman" w:cs="Times New Roman"/>
          <w:sz w:val="24"/>
          <w:szCs w:val="24"/>
        </w:rPr>
        <w:t>Raymond, E. (2018). Gale Researcher Guide for: McCarthyism. Gale, Cengage Learning.</w:t>
      </w:r>
    </w:p>
    <w:sectPr w:rsidR="009007A7" w:rsidRPr="009007A7" w:rsidSect="009007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5493" w:rsidRDefault="00A35493" w:rsidP="009007A7">
      <w:pPr>
        <w:spacing w:after="0" w:line="240" w:lineRule="auto"/>
      </w:pPr>
      <w:r>
        <w:separator/>
      </w:r>
    </w:p>
  </w:endnote>
  <w:endnote w:type="continuationSeparator" w:id="1">
    <w:p w:rsidR="00A35493" w:rsidRDefault="00A35493" w:rsidP="009007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5493" w:rsidRDefault="00A35493" w:rsidP="009007A7">
      <w:pPr>
        <w:spacing w:after="0" w:line="240" w:lineRule="auto"/>
      </w:pPr>
      <w:r>
        <w:separator/>
      </w:r>
    </w:p>
  </w:footnote>
  <w:footnote w:type="continuationSeparator" w:id="1">
    <w:p w:rsidR="00A35493" w:rsidRDefault="00A35493" w:rsidP="009007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7A7" w:rsidRPr="009007A7" w:rsidRDefault="009007A7">
    <w:pPr>
      <w:pStyle w:val="Header"/>
      <w:rPr>
        <w:rFonts w:ascii="Times New Roman" w:hAnsi="Times New Roman" w:cs="Times New Roman"/>
        <w:sz w:val="24"/>
        <w:szCs w:val="24"/>
      </w:rPr>
    </w:pPr>
    <w:r w:rsidRPr="009007A7">
      <w:rPr>
        <w:rFonts w:ascii="Times New Roman" w:hAnsi="Times New Roman" w:cs="Times New Roman"/>
        <w:sz w:val="24"/>
        <w:szCs w:val="24"/>
      </w:rPr>
      <w:t>MCCARTHY</w:t>
    </w:r>
    <w:r>
      <w:rPr>
        <w:rFonts w:ascii="Times New Roman" w:hAnsi="Times New Roman" w:cs="Times New Roman"/>
        <w:sz w:val="24"/>
        <w:szCs w:val="24"/>
      </w:rPr>
      <w:t>I</w:t>
    </w:r>
    <w:r w:rsidRPr="009007A7">
      <w:rPr>
        <w:rFonts w:ascii="Times New Roman" w:hAnsi="Times New Roman" w:cs="Times New Roman"/>
        <w:sz w:val="24"/>
        <w:szCs w:val="24"/>
      </w:rPr>
      <w:t>SM</w:t>
    </w:r>
    <w:r w:rsidRPr="009007A7">
      <w:rPr>
        <w:rFonts w:ascii="Times New Roman" w:hAnsi="Times New Roman" w:cs="Times New Roman"/>
        <w:sz w:val="24"/>
        <w:szCs w:val="24"/>
      </w:rPr>
      <w:tab/>
    </w:r>
    <w:r w:rsidRPr="009007A7">
      <w:rPr>
        <w:rFonts w:ascii="Times New Roman" w:hAnsi="Times New Roman" w:cs="Times New Roman"/>
        <w:sz w:val="24"/>
        <w:szCs w:val="24"/>
      </w:rPr>
      <w:tab/>
    </w:r>
    <w:r w:rsidR="005816EC" w:rsidRPr="009007A7">
      <w:rPr>
        <w:rFonts w:ascii="Times New Roman" w:hAnsi="Times New Roman" w:cs="Times New Roman"/>
        <w:sz w:val="24"/>
        <w:szCs w:val="24"/>
      </w:rPr>
      <w:fldChar w:fldCharType="begin"/>
    </w:r>
    <w:r w:rsidRPr="009007A7">
      <w:rPr>
        <w:rFonts w:ascii="Times New Roman" w:hAnsi="Times New Roman" w:cs="Times New Roman"/>
        <w:sz w:val="24"/>
        <w:szCs w:val="24"/>
      </w:rPr>
      <w:instrText xml:space="preserve"> PAGE   \* MERGEFORMAT </w:instrText>
    </w:r>
    <w:r w:rsidR="005816EC" w:rsidRPr="009007A7">
      <w:rPr>
        <w:rFonts w:ascii="Times New Roman" w:hAnsi="Times New Roman" w:cs="Times New Roman"/>
        <w:sz w:val="24"/>
        <w:szCs w:val="24"/>
      </w:rPr>
      <w:fldChar w:fldCharType="separate"/>
    </w:r>
    <w:r w:rsidR="00A47D31">
      <w:rPr>
        <w:rFonts w:ascii="Times New Roman" w:hAnsi="Times New Roman" w:cs="Times New Roman"/>
        <w:noProof/>
        <w:sz w:val="24"/>
        <w:szCs w:val="24"/>
      </w:rPr>
      <w:t>9</w:t>
    </w:r>
    <w:r w:rsidR="005816EC" w:rsidRPr="009007A7">
      <w:rPr>
        <w:rFonts w:ascii="Times New Roman" w:hAnsi="Times New Roman" w:cs="Times New Roman"/>
        <w:noProof/>
        <w:sz w:val="24"/>
        <w:szCs w:val="24"/>
      </w:rPr>
      <w:fldChar w:fldCharType="end"/>
    </w:r>
  </w:p>
  <w:p w:rsidR="009007A7" w:rsidRDefault="009007A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7A7" w:rsidRPr="009007A7" w:rsidRDefault="009007A7">
    <w:pPr>
      <w:pStyle w:val="Header"/>
      <w:rPr>
        <w:rFonts w:ascii="Times New Roman" w:hAnsi="Times New Roman" w:cs="Times New Roman"/>
        <w:sz w:val="24"/>
        <w:szCs w:val="24"/>
      </w:rPr>
    </w:pPr>
    <w:r w:rsidRPr="009007A7">
      <w:rPr>
        <w:rFonts w:ascii="Times New Roman" w:hAnsi="Times New Roman" w:cs="Times New Roman"/>
        <w:sz w:val="24"/>
        <w:szCs w:val="24"/>
      </w:rPr>
      <w:t>Running head: MCCARTHY</w:t>
    </w:r>
    <w:r>
      <w:rPr>
        <w:rFonts w:ascii="Times New Roman" w:hAnsi="Times New Roman" w:cs="Times New Roman"/>
        <w:sz w:val="24"/>
        <w:szCs w:val="24"/>
      </w:rPr>
      <w:t>I</w:t>
    </w:r>
    <w:r w:rsidRPr="009007A7">
      <w:rPr>
        <w:rFonts w:ascii="Times New Roman" w:hAnsi="Times New Roman" w:cs="Times New Roman"/>
        <w:sz w:val="24"/>
        <w:szCs w:val="24"/>
      </w:rPr>
      <w:t>SM</w:t>
    </w:r>
    <w:r w:rsidRPr="009007A7">
      <w:rPr>
        <w:rFonts w:ascii="Times New Roman" w:hAnsi="Times New Roman" w:cs="Times New Roman"/>
        <w:sz w:val="24"/>
        <w:szCs w:val="24"/>
      </w:rPr>
      <w:tab/>
    </w:r>
    <w:r w:rsidRPr="009007A7">
      <w:rPr>
        <w:rFonts w:ascii="Times New Roman" w:hAnsi="Times New Roman" w:cs="Times New Roman"/>
        <w:sz w:val="24"/>
        <w:szCs w:val="24"/>
      </w:rPr>
      <w:tab/>
    </w:r>
    <w:r w:rsidR="005816EC" w:rsidRPr="009007A7">
      <w:rPr>
        <w:rFonts w:ascii="Times New Roman" w:hAnsi="Times New Roman" w:cs="Times New Roman"/>
        <w:sz w:val="24"/>
        <w:szCs w:val="24"/>
      </w:rPr>
      <w:fldChar w:fldCharType="begin"/>
    </w:r>
    <w:r w:rsidRPr="009007A7">
      <w:rPr>
        <w:rFonts w:ascii="Times New Roman" w:hAnsi="Times New Roman" w:cs="Times New Roman"/>
        <w:sz w:val="24"/>
        <w:szCs w:val="24"/>
      </w:rPr>
      <w:instrText xml:space="preserve"> PAGE   \* MERGEFORMAT </w:instrText>
    </w:r>
    <w:r w:rsidR="005816EC" w:rsidRPr="009007A7">
      <w:rPr>
        <w:rFonts w:ascii="Times New Roman" w:hAnsi="Times New Roman" w:cs="Times New Roman"/>
        <w:sz w:val="24"/>
        <w:szCs w:val="24"/>
      </w:rPr>
      <w:fldChar w:fldCharType="separate"/>
    </w:r>
    <w:r w:rsidR="00A47D31">
      <w:rPr>
        <w:rFonts w:ascii="Times New Roman" w:hAnsi="Times New Roman" w:cs="Times New Roman"/>
        <w:noProof/>
        <w:sz w:val="24"/>
        <w:szCs w:val="24"/>
      </w:rPr>
      <w:t>1</w:t>
    </w:r>
    <w:r w:rsidR="005816EC" w:rsidRPr="009007A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4086"/>
    <w:rsid w:val="000D0D0A"/>
    <w:rsid w:val="001416D9"/>
    <w:rsid w:val="00197DD3"/>
    <w:rsid w:val="001F45C1"/>
    <w:rsid w:val="002261FE"/>
    <w:rsid w:val="002C2143"/>
    <w:rsid w:val="002E5835"/>
    <w:rsid w:val="002E6107"/>
    <w:rsid w:val="0030784A"/>
    <w:rsid w:val="00315147"/>
    <w:rsid w:val="00320892"/>
    <w:rsid w:val="003A5ECD"/>
    <w:rsid w:val="003E4086"/>
    <w:rsid w:val="003E636D"/>
    <w:rsid w:val="003E717E"/>
    <w:rsid w:val="00423E79"/>
    <w:rsid w:val="0050158B"/>
    <w:rsid w:val="00516BC2"/>
    <w:rsid w:val="00546999"/>
    <w:rsid w:val="00547623"/>
    <w:rsid w:val="005816EC"/>
    <w:rsid w:val="00600767"/>
    <w:rsid w:val="00610B0F"/>
    <w:rsid w:val="00610B60"/>
    <w:rsid w:val="00633E75"/>
    <w:rsid w:val="00675E4F"/>
    <w:rsid w:val="006B1892"/>
    <w:rsid w:val="006C1A40"/>
    <w:rsid w:val="0070164A"/>
    <w:rsid w:val="00894957"/>
    <w:rsid w:val="008A4ECC"/>
    <w:rsid w:val="008B042B"/>
    <w:rsid w:val="008E78F5"/>
    <w:rsid w:val="009007A7"/>
    <w:rsid w:val="00976B7E"/>
    <w:rsid w:val="009A7601"/>
    <w:rsid w:val="009D223E"/>
    <w:rsid w:val="00A35493"/>
    <w:rsid w:val="00A40111"/>
    <w:rsid w:val="00A47D31"/>
    <w:rsid w:val="00A96C73"/>
    <w:rsid w:val="00AA29E7"/>
    <w:rsid w:val="00AE6999"/>
    <w:rsid w:val="00B859E9"/>
    <w:rsid w:val="00BA3F84"/>
    <w:rsid w:val="00BB1619"/>
    <w:rsid w:val="00BD04A6"/>
    <w:rsid w:val="00C1294C"/>
    <w:rsid w:val="00C278F8"/>
    <w:rsid w:val="00CC4878"/>
    <w:rsid w:val="00D05D85"/>
    <w:rsid w:val="00D135FE"/>
    <w:rsid w:val="00D62ED2"/>
    <w:rsid w:val="00D86487"/>
    <w:rsid w:val="00DC7CE0"/>
    <w:rsid w:val="00E367B9"/>
    <w:rsid w:val="00E87B07"/>
    <w:rsid w:val="00EB2679"/>
    <w:rsid w:val="00EB691B"/>
    <w:rsid w:val="00ED16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7A7"/>
  </w:style>
  <w:style w:type="paragraph" w:styleId="Footer">
    <w:name w:val="footer"/>
    <w:basedOn w:val="Normal"/>
    <w:link w:val="FooterChar"/>
    <w:uiPriority w:val="99"/>
    <w:unhideWhenUsed/>
    <w:rsid w:val="00900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7A7"/>
  </w:style>
</w:styles>
</file>

<file path=word/webSettings.xml><?xml version="1.0" encoding="utf-8"?>
<w:webSettings xmlns:r="http://schemas.openxmlformats.org/officeDocument/2006/relationships" xmlns:w="http://schemas.openxmlformats.org/wordprocessingml/2006/main">
  <w:divs>
    <w:div w:id="391925946">
      <w:bodyDiv w:val="1"/>
      <w:marLeft w:val="0"/>
      <w:marRight w:val="0"/>
      <w:marTop w:val="0"/>
      <w:marBottom w:val="0"/>
      <w:divBdr>
        <w:top w:val="none" w:sz="0" w:space="0" w:color="auto"/>
        <w:left w:val="none" w:sz="0" w:space="0" w:color="auto"/>
        <w:bottom w:val="none" w:sz="0" w:space="0" w:color="auto"/>
        <w:right w:val="none" w:sz="0" w:space="0" w:color="auto"/>
      </w:divBdr>
      <w:divsChild>
        <w:div w:id="1696689327">
          <w:marLeft w:val="0"/>
          <w:marRight w:val="0"/>
          <w:marTop w:val="0"/>
          <w:marBottom w:val="0"/>
          <w:divBdr>
            <w:top w:val="none" w:sz="0" w:space="0" w:color="auto"/>
            <w:left w:val="none" w:sz="0" w:space="0" w:color="auto"/>
            <w:bottom w:val="none" w:sz="0" w:space="0" w:color="auto"/>
            <w:right w:val="none" w:sz="0" w:space="0" w:color="auto"/>
          </w:divBdr>
        </w:div>
      </w:divsChild>
    </w:div>
    <w:div w:id="488715670">
      <w:bodyDiv w:val="1"/>
      <w:marLeft w:val="0"/>
      <w:marRight w:val="0"/>
      <w:marTop w:val="0"/>
      <w:marBottom w:val="0"/>
      <w:divBdr>
        <w:top w:val="none" w:sz="0" w:space="0" w:color="auto"/>
        <w:left w:val="none" w:sz="0" w:space="0" w:color="auto"/>
        <w:bottom w:val="none" w:sz="0" w:space="0" w:color="auto"/>
        <w:right w:val="none" w:sz="0" w:space="0" w:color="auto"/>
      </w:divBdr>
      <w:divsChild>
        <w:div w:id="2052918570">
          <w:marLeft w:val="0"/>
          <w:marRight w:val="0"/>
          <w:marTop w:val="0"/>
          <w:marBottom w:val="0"/>
          <w:divBdr>
            <w:top w:val="none" w:sz="0" w:space="0" w:color="auto"/>
            <w:left w:val="none" w:sz="0" w:space="0" w:color="auto"/>
            <w:bottom w:val="none" w:sz="0" w:space="0" w:color="auto"/>
            <w:right w:val="none" w:sz="0" w:space="0" w:color="auto"/>
          </w:divBdr>
        </w:div>
      </w:divsChild>
    </w:div>
    <w:div w:id="492645090">
      <w:bodyDiv w:val="1"/>
      <w:marLeft w:val="0"/>
      <w:marRight w:val="0"/>
      <w:marTop w:val="0"/>
      <w:marBottom w:val="0"/>
      <w:divBdr>
        <w:top w:val="none" w:sz="0" w:space="0" w:color="auto"/>
        <w:left w:val="none" w:sz="0" w:space="0" w:color="auto"/>
        <w:bottom w:val="none" w:sz="0" w:space="0" w:color="auto"/>
        <w:right w:val="none" w:sz="0" w:space="0" w:color="auto"/>
      </w:divBdr>
      <w:divsChild>
        <w:div w:id="1094327739">
          <w:marLeft w:val="0"/>
          <w:marRight w:val="0"/>
          <w:marTop w:val="0"/>
          <w:marBottom w:val="0"/>
          <w:divBdr>
            <w:top w:val="none" w:sz="0" w:space="0" w:color="auto"/>
            <w:left w:val="none" w:sz="0" w:space="0" w:color="auto"/>
            <w:bottom w:val="none" w:sz="0" w:space="0" w:color="auto"/>
            <w:right w:val="none" w:sz="0" w:space="0" w:color="auto"/>
          </w:divBdr>
        </w:div>
      </w:divsChild>
    </w:div>
    <w:div w:id="518588652">
      <w:bodyDiv w:val="1"/>
      <w:marLeft w:val="0"/>
      <w:marRight w:val="0"/>
      <w:marTop w:val="0"/>
      <w:marBottom w:val="0"/>
      <w:divBdr>
        <w:top w:val="none" w:sz="0" w:space="0" w:color="auto"/>
        <w:left w:val="none" w:sz="0" w:space="0" w:color="auto"/>
        <w:bottom w:val="none" w:sz="0" w:space="0" w:color="auto"/>
        <w:right w:val="none" w:sz="0" w:space="0" w:color="auto"/>
      </w:divBdr>
      <w:divsChild>
        <w:div w:id="23484419">
          <w:marLeft w:val="0"/>
          <w:marRight w:val="0"/>
          <w:marTop w:val="0"/>
          <w:marBottom w:val="0"/>
          <w:divBdr>
            <w:top w:val="none" w:sz="0" w:space="0" w:color="auto"/>
            <w:left w:val="none" w:sz="0" w:space="0" w:color="auto"/>
            <w:bottom w:val="none" w:sz="0" w:space="0" w:color="auto"/>
            <w:right w:val="none" w:sz="0" w:space="0" w:color="auto"/>
          </w:divBdr>
        </w:div>
      </w:divsChild>
    </w:div>
    <w:div w:id="640768473">
      <w:bodyDiv w:val="1"/>
      <w:marLeft w:val="0"/>
      <w:marRight w:val="0"/>
      <w:marTop w:val="0"/>
      <w:marBottom w:val="0"/>
      <w:divBdr>
        <w:top w:val="none" w:sz="0" w:space="0" w:color="auto"/>
        <w:left w:val="none" w:sz="0" w:space="0" w:color="auto"/>
        <w:bottom w:val="none" w:sz="0" w:space="0" w:color="auto"/>
        <w:right w:val="none" w:sz="0" w:space="0" w:color="auto"/>
      </w:divBdr>
      <w:divsChild>
        <w:div w:id="759644719">
          <w:marLeft w:val="0"/>
          <w:marRight w:val="0"/>
          <w:marTop w:val="0"/>
          <w:marBottom w:val="0"/>
          <w:divBdr>
            <w:top w:val="none" w:sz="0" w:space="0" w:color="auto"/>
            <w:left w:val="none" w:sz="0" w:space="0" w:color="auto"/>
            <w:bottom w:val="none" w:sz="0" w:space="0" w:color="auto"/>
            <w:right w:val="none" w:sz="0" w:space="0" w:color="auto"/>
          </w:divBdr>
        </w:div>
      </w:divsChild>
    </w:div>
    <w:div w:id="757560646">
      <w:bodyDiv w:val="1"/>
      <w:marLeft w:val="0"/>
      <w:marRight w:val="0"/>
      <w:marTop w:val="0"/>
      <w:marBottom w:val="0"/>
      <w:divBdr>
        <w:top w:val="none" w:sz="0" w:space="0" w:color="auto"/>
        <w:left w:val="none" w:sz="0" w:space="0" w:color="auto"/>
        <w:bottom w:val="none" w:sz="0" w:space="0" w:color="auto"/>
        <w:right w:val="none" w:sz="0" w:space="0" w:color="auto"/>
      </w:divBdr>
      <w:divsChild>
        <w:div w:id="93748477">
          <w:marLeft w:val="0"/>
          <w:marRight w:val="0"/>
          <w:marTop w:val="0"/>
          <w:marBottom w:val="0"/>
          <w:divBdr>
            <w:top w:val="none" w:sz="0" w:space="0" w:color="auto"/>
            <w:left w:val="none" w:sz="0" w:space="0" w:color="auto"/>
            <w:bottom w:val="none" w:sz="0" w:space="0" w:color="auto"/>
            <w:right w:val="none" w:sz="0" w:space="0" w:color="auto"/>
          </w:divBdr>
        </w:div>
      </w:divsChild>
    </w:div>
    <w:div w:id="906690924">
      <w:bodyDiv w:val="1"/>
      <w:marLeft w:val="0"/>
      <w:marRight w:val="0"/>
      <w:marTop w:val="0"/>
      <w:marBottom w:val="0"/>
      <w:divBdr>
        <w:top w:val="none" w:sz="0" w:space="0" w:color="auto"/>
        <w:left w:val="none" w:sz="0" w:space="0" w:color="auto"/>
        <w:bottom w:val="none" w:sz="0" w:space="0" w:color="auto"/>
        <w:right w:val="none" w:sz="0" w:space="0" w:color="auto"/>
      </w:divBdr>
      <w:divsChild>
        <w:div w:id="242876791">
          <w:marLeft w:val="0"/>
          <w:marRight w:val="0"/>
          <w:marTop w:val="0"/>
          <w:marBottom w:val="0"/>
          <w:divBdr>
            <w:top w:val="none" w:sz="0" w:space="0" w:color="auto"/>
            <w:left w:val="none" w:sz="0" w:space="0" w:color="auto"/>
            <w:bottom w:val="none" w:sz="0" w:space="0" w:color="auto"/>
            <w:right w:val="none" w:sz="0" w:space="0" w:color="auto"/>
          </w:divBdr>
        </w:div>
      </w:divsChild>
    </w:div>
    <w:div w:id="1174220982">
      <w:bodyDiv w:val="1"/>
      <w:marLeft w:val="0"/>
      <w:marRight w:val="0"/>
      <w:marTop w:val="0"/>
      <w:marBottom w:val="0"/>
      <w:divBdr>
        <w:top w:val="none" w:sz="0" w:space="0" w:color="auto"/>
        <w:left w:val="none" w:sz="0" w:space="0" w:color="auto"/>
        <w:bottom w:val="none" w:sz="0" w:space="0" w:color="auto"/>
        <w:right w:val="none" w:sz="0" w:space="0" w:color="auto"/>
      </w:divBdr>
      <w:divsChild>
        <w:div w:id="121964983">
          <w:marLeft w:val="0"/>
          <w:marRight w:val="0"/>
          <w:marTop w:val="0"/>
          <w:marBottom w:val="0"/>
          <w:divBdr>
            <w:top w:val="none" w:sz="0" w:space="0" w:color="auto"/>
            <w:left w:val="none" w:sz="0" w:space="0" w:color="auto"/>
            <w:bottom w:val="none" w:sz="0" w:space="0" w:color="auto"/>
            <w:right w:val="none" w:sz="0" w:space="0" w:color="auto"/>
          </w:divBdr>
        </w:div>
      </w:divsChild>
    </w:div>
    <w:div w:id="1523855166">
      <w:bodyDiv w:val="1"/>
      <w:marLeft w:val="0"/>
      <w:marRight w:val="0"/>
      <w:marTop w:val="0"/>
      <w:marBottom w:val="0"/>
      <w:divBdr>
        <w:top w:val="none" w:sz="0" w:space="0" w:color="auto"/>
        <w:left w:val="none" w:sz="0" w:space="0" w:color="auto"/>
        <w:bottom w:val="none" w:sz="0" w:space="0" w:color="auto"/>
        <w:right w:val="none" w:sz="0" w:space="0" w:color="auto"/>
      </w:divBdr>
      <w:divsChild>
        <w:div w:id="1542353440">
          <w:marLeft w:val="0"/>
          <w:marRight w:val="0"/>
          <w:marTop w:val="0"/>
          <w:marBottom w:val="0"/>
          <w:divBdr>
            <w:top w:val="none" w:sz="0" w:space="0" w:color="auto"/>
            <w:left w:val="none" w:sz="0" w:space="0" w:color="auto"/>
            <w:bottom w:val="none" w:sz="0" w:space="0" w:color="auto"/>
            <w:right w:val="none" w:sz="0" w:space="0" w:color="auto"/>
          </w:divBdr>
        </w:div>
      </w:divsChild>
    </w:div>
    <w:div w:id="1645770519">
      <w:bodyDiv w:val="1"/>
      <w:marLeft w:val="0"/>
      <w:marRight w:val="0"/>
      <w:marTop w:val="0"/>
      <w:marBottom w:val="0"/>
      <w:divBdr>
        <w:top w:val="none" w:sz="0" w:space="0" w:color="auto"/>
        <w:left w:val="none" w:sz="0" w:space="0" w:color="auto"/>
        <w:bottom w:val="none" w:sz="0" w:space="0" w:color="auto"/>
        <w:right w:val="none" w:sz="0" w:space="0" w:color="auto"/>
      </w:divBdr>
      <w:divsChild>
        <w:div w:id="1964118733">
          <w:marLeft w:val="0"/>
          <w:marRight w:val="0"/>
          <w:marTop w:val="0"/>
          <w:marBottom w:val="0"/>
          <w:divBdr>
            <w:top w:val="none" w:sz="0" w:space="0" w:color="auto"/>
            <w:left w:val="none" w:sz="0" w:space="0" w:color="auto"/>
            <w:bottom w:val="none" w:sz="0" w:space="0" w:color="auto"/>
            <w:right w:val="none" w:sz="0" w:space="0" w:color="auto"/>
          </w:divBdr>
        </w:div>
      </w:divsChild>
    </w:div>
    <w:div w:id="2058896595">
      <w:bodyDiv w:val="1"/>
      <w:marLeft w:val="0"/>
      <w:marRight w:val="0"/>
      <w:marTop w:val="0"/>
      <w:marBottom w:val="0"/>
      <w:divBdr>
        <w:top w:val="none" w:sz="0" w:space="0" w:color="auto"/>
        <w:left w:val="none" w:sz="0" w:space="0" w:color="auto"/>
        <w:bottom w:val="none" w:sz="0" w:space="0" w:color="auto"/>
        <w:right w:val="none" w:sz="0" w:space="0" w:color="auto"/>
      </w:divBdr>
      <w:divsChild>
        <w:div w:id="1153570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2204</Words>
  <Characters>12568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2020-03-08T08:24:00Z</dcterms:created>
  <dcterms:modified xsi:type="dcterms:W3CDTF">2020-03-08T08:24:00Z</dcterms:modified>
</cp:coreProperties>
</file>