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r w:rsidRPr="00DD2E8D">
        <w:rPr>
          <w:rFonts w:ascii="Times New Roman" w:hAnsi="Times New Roman" w:cs="Times New Roman"/>
          <w:sz w:val="24"/>
          <w:szCs w:val="24"/>
        </w:rPr>
        <w:t>Medical Countermeasures</w:t>
      </w:r>
    </w:p>
    <w:p w:rsidR="00172434" w:rsidRPr="00DD2E8D" w:rsidRDefault="00172434" w:rsidP="00DD2E8D">
      <w:pPr>
        <w:spacing w:after="0" w:line="480" w:lineRule="auto"/>
        <w:jc w:val="center"/>
        <w:rPr>
          <w:rFonts w:ascii="Times New Roman" w:hAnsi="Times New Roman" w:cs="Times New Roman"/>
          <w:sz w:val="24"/>
          <w:szCs w:val="24"/>
        </w:rPr>
      </w:pPr>
      <w:r w:rsidRPr="00DD2E8D">
        <w:rPr>
          <w:rFonts w:ascii="Times New Roman" w:hAnsi="Times New Roman" w:cs="Times New Roman"/>
          <w:sz w:val="24"/>
          <w:szCs w:val="24"/>
        </w:rPr>
        <w:t>Name of the Student</w:t>
      </w:r>
    </w:p>
    <w:p w:rsidR="00172434" w:rsidRPr="00DD2E8D" w:rsidRDefault="00172434" w:rsidP="00DD2E8D">
      <w:pPr>
        <w:spacing w:after="0" w:line="480" w:lineRule="auto"/>
        <w:jc w:val="center"/>
        <w:rPr>
          <w:rFonts w:ascii="Times New Roman" w:hAnsi="Times New Roman" w:cs="Times New Roman"/>
          <w:sz w:val="24"/>
          <w:szCs w:val="24"/>
        </w:rPr>
      </w:pPr>
      <w:r w:rsidRPr="00DD2E8D">
        <w:rPr>
          <w:rFonts w:ascii="Times New Roman" w:hAnsi="Times New Roman" w:cs="Times New Roman"/>
          <w:sz w:val="24"/>
          <w:szCs w:val="24"/>
        </w:rPr>
        <w:t>Institution</w:t>
      </w: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b/>
          <w:sz w:val="24"/>
          <w:szCs w:val="24"/>
        </w:rPr>
      </w:pPr>
      <w:r w:rsidRPr="00DD2E8D">
        <w:rPr>
          <w:rFonts w:ascii="Times New Roman" w:hAnsi="Times New Roman" w:cs="Times New Roman"/>
          <w:b/>
          <w:sz w:val="24"/>
          <w:szCs w:val="24"/>
        </w:rPr>
        <w:lastRenderedPageBreak/>
        <w:t>Medical Countermeasures</w:t>
      </w:r>
    </w:p>
    <w:p w:rsidR="00E37D20" w:rsidRPr="00DD2E8D" w:rsidRDefault="00E37D20" w:rsidP="00DD2E8D">
      <w:pPr>
        <w:spacing w:after="0" w:line="480" w:lineRule="auto"/>
        <w:ind w:firstLine="720"/>
        <w:rPr>
          <w:rFonts w:ascii="Times New Roman" w:hAnsi="Times New Roman" w:cs="Times New Roman"/>
          <w:sz w:val="24"/>
          <w:szCs w:val="24"/>
        </w:rPr>
      </w:pPr>
      <w:r w:rsidRPr="00DD2E8D">
        <w:rPr>
          <w:rFonts w:ascii="Times New Roman" w:hAnsi="Times New Roman" w:cs="Times New Roman"/>
          <w:sz w:val="24"/>
          <w:szCs w:val="24"/>
        </w:rPr>
        <w:t xml:space="preserve">Medical countermeasures are medical supplies and life-saving medicines that are used to prevent, protect, and diagnose emerging infectious diseases. The government, with the help of the Centers for Diseases Control (CDC), ensures they have planned a process that receives. The two provides life-saving medicines and supplies that offer medical assistance to society. CDC experts guide to help health departments develop medical countermeasures plans (Jester, 2018). The other objective of the CDC is to evaluate tools and approaches that measure the readiness of life-saving machines and supplies to patients. </w:t>
      </w:r>
    </w:p>
    <w:p w:rsidR="00E37D20" w:rsidRPr="00DD2E8D" w:rsidRDefault="00E37D20" w:rsidP="00DD2E8D">
      <w:pPr>
        <w:spacing w:line="480" w:lineRule="auto"/>
        <w:ind w:firstLine="720"/>
        <w:rPr>
          <w:rFonts w:ascii="Times New Roman" w:hAnsi="Times New Roman" w:cs="Times New Roman"/>
          <w:sz w:val="24"/>
          <w:szCs w:val="24"/>
        </w:rPr>
      </w:pPr>
      <w:r w:rsidRPr="00DD2E8D">
        <w:rPr>
          <w:rFonts w:ascii="Times New Roman" w:hAnsi="Times New Roman" w:cs="Times New Roman"/>
          <w:sz w:val="24"/>
          <w:szCs w:val="24"/>
        </w:rPr>
        <w:t>The government works with other non-governmental organizations to further the development of the MCMs to prepare for solving the public health emergency. The countermeasures are administered by health care and public health responders who act first in case of an emergency</w:t>
      </w:r>
      <w:r w:rsidR="00DD2E8D" w:rsidRPr="00DD2E8D">
        <w:rPr>
          <w:rFonts w:ascii="Times New Roman" w:hAnsi="Times New Roman" w:cs="Times New Roman"/>
          <w:sz w:val="24"/>
          <w:szCs w:val="24"/>
        </w:rPr>
        <w:t xml:space="preserve"> (</w:t>
      </w:r>
      <w:r w:rsidR="00DD2E8D" w:rsidRPr="00DD2E8D">
        <w:rPr>
          <w:rFonts w:ascii="Times New Roman" w:hAnsi="Times New Roman" w:cs="Times New Roman"/>
          <w:color w:val="222222"/>
          <w:sz w:val="24"/>
          <w:szCs w:val="24"/>
          <w:shd w:val="clear" w:color="auto" w:fill="FFFFFF"/>
        </w:rPr>
        <w:t>National Research Council, 2004</w:t>
      </w:r>
      <w:r w:rsidR="00DD2E8D" w:rsidRPr="00DD2E8D">
        <w:rPr>
          <w:rFonts w:ascii="Times New Roman" w:hAnsi="Times New Roman" w:cs="Times New Roman"/>
          <w:sz w:val="24"/>
          <w:szCs w:val="24"/>
        </w:rPr>
        <w:t>)</w:t>
      </w:r>
      <w:r w:rsidRPr="00DD2E8D">
        <w:rPr>
          <w:rFonts w:ascii="Times New Roman" w:hAnsi="Times New Roman" w:cs="Times New Roman"/>
          <w:sz w:val="24"/>
          <w:szCs w:val="24"/>
        </w:rPr>
        <w:t>. The countermeasures could be approved by the FDA to ensure they are useful in helping the public’s health. Approving of the measures is not on the indication under consideration during the emergency.</w:t>
      </w:r>
    </w:p>
    <w:p w:rsidR="00E37D20" w:rsidRPr="00DD2E8D" w:rsidRDefault="00E37D20" w:rsidP="00DD2E8D">
      <w:pPr>
        <w:spacing w:after="0" w:line="480" w:lineRule="auto"/>
        <w:ind w:firstLine="720"/>
        <w:rPr>
          <w:rFonts w:ascii="Times New Roman" w:hAnsi="Times New Roman" w:cs="Times New Roman"/>
          <w:sz w:val="24"/>
          <w:szCs w:val="24"/>
        </w:rPr>
      </w:pPr>
      <w:r w:rsidRPr="00DD2E8D">
        <w:rPr>
          <w:rFonts w:ascii="Times New Roman" w:hAnsi="Times New Roman" w:cs="Times New Roman"/>
          <w:sz w:val="24"/>
          <w:szCs w:val="24"/>
        </w:rPr>
        <w:t xml:space="preserve">The technical assistance is provided by the government to provide information and resources to ensure that the health department has all the resources to provide good countermeasures. </w:t>
      </w:r>
      <w:r w:rsidR="00DD2E8D" w:rsidRPr="00DD2E8D">
        <w:rPr>
          <w:rFonts w:ascii="Times New Roman" w:hAnsi="Times New Roman" w:cs="Times New Roman"/>
          <w:sz w:val="24"/>
          <w:szCs w:val="24"/>
        </w:rPr>
        <w:t>The head of state should ensure there is continuous funding for basic research and investing in new technology that could lead to the development and production of the countermeasures (</w:t>
      </w:r>
      <w:r w:rsidR="00DD2E8D" w:rsidRPr="00DD2E8D">
        <w:rPr>
          <w:rFonts w:ascii="Times New Roman" w:hAnsi="Times New Roman" w:cs="Times New Roman"/>
          <w:color w:val="222222"/>
          <w:sz w:val="24"/>
          <w:szCs w:val="24"/>
          <w:shd w:val="clear" w:color="auto" w:fill="FFFFFF"/>
        </w:rPr>
        <w:t>Perry, 2018</w:t>
      </w:r>
      <w:r w:rsidR="00DD2E8D" w:rsidRPr="00DD2E8D">
        <w:rPr>
          <w:rFonts w:ascii="Times New Roman" w:hAnsi="Times New Roman" w:cs="Times New Roman"/>
          <w:sz w:val="24"/>
          <w:szCs w:val="24"/>
        </w:rPr>
        <w:t>).</w:t>
      </w:r>
      <w:r w:rsidR="00DD2E8D">
        <w:rPr>
          <w:rFonts w:ascii="Times New Roman" w:hAnsi="Times New Roman" w:cs="Times New Roman"/>
          <w:sz w:val="24"/>
          <w:szCs w:val="24"/>
        </w:rPr>
        <w:t xml:space="preserve"> </w:t>
      </w:r>
      <w:r w:rsidRPr="00DD2E8D">
        <w:rPr>
          <w:rFonts w:ascii="Times New Roman" w:hAnsi="Times New Roman" w:cs="Times New Roman"/>
          <w:sz w:val="24"/>
          <w:szCs w:val="24"/>
        </w:rPr>
        <w:t xml:space="preserve">PHEMCE, with the help of the government, contributes to preparing for biological threats. The government has done enough when it comes to fighting infectious diseases. </w:t>
      </w:r>
    </w:p>
    <w:p w:rsidR="00E37D20" w:rsidRPr="00DD2E8D" w:rsidRDefault="00E37D20" w:rsidP="00DD2E8D">
      <w:pPr>
        <w:spacing w:after="0" w:line="480" w:lineRule="auto"/>
        <w:ind w:firstLine="720"/>
        <w:rPr>
          <w:rFonts w:ascii="Times New Roman" w:hAnsi="Times New Roman" w:cs="Times New Roman"/>
          <w:sz w:val="24"/>
          <w:szCs w:val="24"/>
        </w:rPr>
      </w:pPr>
      <w:r w:rsidRPr="00DD2E8D">
        <w:rPr>
          <w:rFonts w:ascii="Times New Roman" w:hAnsi="Times New Roman" w:cs="Times New Roman"/>
          <w:sz w:val="24"/>
          <w:szCs w:val="24"/>
        </w:rPr>
        <w:t xml:space="preserve">Biological products are the best countermeasures since they are adequate in number and can be stored and be sued by those who are needed for them during a health emergency. </w:t>
      </w:r>
      <w:r w:rsidRPr="00DD2E8D">
        <w:rPr>
          <w:rFonts w:ascii="Times New Roman" w:hAnsi="Times New Roman" w:cs="Times New Roman"/>
          <w:sz w:val="24"/>
          <w:szCs w:val="24"/>
        </w:rPr>
        <w:lastRenderedPageBreak/>
        <w:t>Biological products include vaccines, blood products and antibodies, and they are effective to respond to large health emergencies</w:t>
      </w:r>
      <w:r w:rsidR="00DD2E8D" w:rsidRPr="00DD2E8D">
        <w:rPr>
          <w:rFonts w:ascii="Times New Roman" w:hAnsi="Times New Roman" w:cs="Times New Roman"/>
          <w:sz w:val="24"/>
          <w:szCs w:val="24"/>
        </w:rPr>
        <w:t xml:space="preserve"> (</w:t>
      </w:r>
      <w:r w:rsidR="00DD2E8D" w:rsidRPr="00DD2E8D">
        <w:rPr>
          <w:rFonts w:ascii="Times New Roman" w:hAnsi="Times New Roman" w:cs="Times New Roman"/>
          <w:color w:val="222222"/>
          <w:sz w:val="24"/>
          <w:szCs w:val="24"/>
          <w:shd w:val="clear" w:color="auto" w:fill="FFFFFF"/>
        </w:rPr>
        <w:t>Council, 2016</w:t>
      </w:r>
      <w:r w:rsidR="00DD2E8D" w:rsidRPr="00DD2E8D">
        <w:rPr>
          <w:rFonts w:ascii="Times New Roman" w:hAnsi="Times New Roman" w:cs="Times New Roman"/>
          <w:sz w:val="24"/>
          <w:szCs w:val="24"/>
        </w:rPr>
        <w:t>)</w:t>
      </w:r>
      <w:r w:rsidRPr="00DD2E8D">
        <w:rPr>
          <w:rFonts w:ascii="Times New Roman" w:hAnsi="Times New Roman" w:cs="Times New Roman"/>
          <w:sz w:val="24"/>
          <w:szCs w:val="24"/>
        </w:rPr>
        <w:t xml:space="preserve">. These biological products are advanced by the government to treat patients with infectious disease.  The products address radiation exposures injuries to skin and lung. </w:t>
      </w:r>
    </w:p>
    <w:p w:rsidR="00172434" w:rsidRPr="00DD2E8D" w:rsidRDefault="00E37D20" w:rsidP="00DD2E8D">
      <w:pPr>
        <w:spacing w:after="0" w:line="480" w:lineRule="auto"/>
        <w:ind w:firstLine="720"/>
        <w:rPr>
          <w:rFonts w:ascii="Times New Roman" w:hAnsi="Times New Roman" w:cs="Times New Roman"/>
          <w:sz w:val="24"/>
          <w:szCs w:val="24"/>
        </w:rPr>
      </w:pPr>
      <w:r w:rsidRPr="00DD2E8D">
        <w:rPr>
          <w:rFonts w:ascii="Times New Roman" w:hAnsi="Times New Roman" w:cs="Times New Roman"/>
          <w:sz w:val="24"/>
          <w:szCs w:val="24"/>
        </w:rPr>
        <w:t>Biological products are essential in health care since they mitigate the negative effects of radiation exposure that reacts to lung and skins. The products maintain high standards for safety and efficacy of the public health to address challenges that may occur and the threat of infectious disease.  Biological products are safe and effective since they have low frequency and high consequences.</w:t>
      </w: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p>
    <w:p w:rsidR="00DD2E8D" w:rsidRDefault="00DD2E8D" w:rsidP="00DD2E8D">
      <w:pPr>
        <w:spacing w:after="0" w:line="480" w:lineRule="auto"/>
        <w:jc w:val="center"/>
        <w:rPr>
          <w:rFonts w:ascii="Times New Roman" w:hAnsi="Times New Roman" w:cs="Times New Roman"/>
          <w:sz w:val="24"/>
          <w:szCs w:val="24"/>
        </w:rPr>
      </w:pPr>
    </w:p>
    <w:p w:rsidR="00DD2E8D" w:rsidRDefault="00DD2E8D" w:rsidP="00DD2E8D">
      <w:pPr>
        <w:spacing w:after="0" w:line="480" w:lineRule="auto"/>
        <w:jc w:val="center"/>
        <w:rPr>
          <w:rFonts w:ascii="Times New Roman" w:hAnsi="Times New Roman" w:cs="Times New Roman"/>
          <w:sz w:val="24"/>
          <w:szCs w:val="24"/>
        </w:rPr>
      </w:pPr>
    </w:p>
    <w:p w:rsidR="00DD2E8D" w:rsidRDefault="00DD2E8D" w:rsidP="00DD2E8D">
      <w:pPr>
        <w:spacing w:after="0" w:line="480" w:lineRule="auto"/>
        <w:jc w:val="center"/>
        <w:rPr>
          <w:rFonts w:ascii="Times New Roman" w:hAnsi="Times New Roman" w:cs="Times New Roman"/>
          <w:sz w:val="24"/>
          <w:szCs w:val="24"/>
        </w:rPr>
      </w:pPr>
    </w:p>
    <w:p w:rsidR="00DD2E8D" w:rsidRDefault="00DD2E8D" w:rsidP="00DD2E8D">
      <w:pPr>
        <w:spacing w:after="0" w:line="480" w:lineRule="auto"/>
        <w:rPr>
          <w:rFonts w:ascii="Times New Roman" w:hAnsi="Times New Roman" w:cs="Times New Roman"/>
          <w:sz w:val="24"/>
          <w:szCs w:val="24"/>
        </w:rPr>
      </w:pPr>
    </w:p>
    <w:p w:rsidR="00172434" w:rsidRPr="00DD2E8D" w:rsidRDefault="00172434" w:rsidP="00DD2E8D">
      <w:pPr>
        <w:spacing w:after="0" w:line="480" w:lineRule="auto"/>
        <w:jc w:val="center"/>
        <w:rPr>
          <w:rFonts w:ascii="Times New Roman" w:hAnsi="Times New Roman" w:cs="Times New Roman"/>
          <w:sz w:val="24"/>
          <w:szCs w:val="24"/>
        </w:rPr>
      </w:pPr>
      <w:r w:rsidRPr="00DD2E8D">
        <w:rPr>
          <w:rFonts w:ascii="Times New Roman" w:hAnsi="Times New Roman" w:cs="Times New Roman"/>
          <w:sz w:val="24"/>
          <w:szCs w:val="24"/>
        </w:rPr>
        <w:lastRenderedPageBreak/>
        <w:t>References</w:t>
      </w:r>
    </w:p>
    <w:p w:rsidR="00172434" w:rsidRPr="00DD2E8D" w:rsidRDefault="00172434" w:rsidP="00DD2E8D">
      <w:pPr>
        <w:spacing w:after="0" w:line="480" w:lineRule="auto"/>
        <w:rPr>
          <w:rFonts w:ascii="Times New Roman" w:hAnsi="Times New Roman" w:cs="Times New Roman"/>
          <w:sz w:val="24"/>
          <w:szCs w:val="24"/>
        </w:rPr>
      </w:pPr>
      <w:r w:rsidRPr="00DD2E8D">
        <w:rPr>
          <w:rFonts w:ascii="Times New Roman" w:hAnsi="Times New Roman" w:cs="Times New Roman"/>
          <w:color w:val="222222"/>
          <w:sz w:val="24"/>
          <w:szCs w:val="24"/>
          <w:shd w:val="clear" w:color="auto" w:fill="FFFFFF"/>
        </w:rPr>
        <w:t>Council, D. P. A. (2016). Medical countermeasures for children in public health emergencies,</w:t>
      </w:r>
      <w:r w:rsidRPr="00DD2E8D">
        <w:rPr>
          <w:rFonts w:ascii="Times New Roman" w:hAnsi="Times New Roman" w:cs="Times New Roman"/>
          <w:color w:val="222222"/>
          <w:sz w:val="24"/>
          <w:szCs w:val="24"/>
          <w:shd w:val="clear" w:color="auto" w:fill="FFFFFF"/>
        </w:rPr>
        <w:tab/>
        <w:t>disasters, or terrorism. </w:t>
      </w:r>
      <w:r w:rsidRPr="00DD2E8D">
        <w:rPr>
          <w:rFonts w:ascii="Times New Roman" w:hAnsi="Times New Roman" w:cs="Times New Roman"/>
          <w:i/>
          <w:iCs/>
          <w:color w:val="222222"/>
          <w:sz w:val="24"/>
          <w:szCs w:val="24"/>
          <w:shd w:val="clear" w:color="auto" w:fill="FFFFFF"/>
        </w:rPr>
        <w:t>Pediatrics</w:t>
      </w:r>
      <w:r w:rsidRPr="00DD2E8D">
        <w:rPr>
          <w:rFonts w:ascii="Times New Roman" w:hAnsi="Times New Roman" w:cs="Times New Roman"/>
          <w:color w:val="222222"/>
          <w:sz w:val="24"/>
          <w:szCs w:val="24"/>
          <w:shd w:val="clear" w:color="auto" w:fill="FFFFFF"/>
        </w:rPr>
        <w:t>, </w:t>
      </w:r>
      <w:r w:rsidRPr="00DD2E8D">
        <w:rPr>
          <w:rFonts w:ascii="Times New Roman" w:hAnsi="Times New Roman" w:cs="Times New Roman"/>
          <w:i/>
          <w:iCs/>
          <w:color w:val="222222"/>
          <w:sz w:val="24"/>
          <w:szCs w:val="24"/>
          <w:shd w:val="clear" w:color="auto" w:fill="FFFFFF"/>
        </w:rPr>
        <w:t>137</w:t>
      </w:r>
      <w:r w:rsidRPr="00DD2E8D">
        <w:rPr>
          <w:rFonts w:ascii="Times New Roman" w:hAnsi="Times New Roman" w:cs="Times New Roman"/>
          <w:color w:val="222222"/>
          <w:sz w:val="24"/>
          <w:szCs w:val="24"/>
          <w:shd w:val="clear" w:color="auto" w:fill="FFFFFF"/>
        </w:rPr>
        <w:t>(2), e20154273.</w:t>
      </w:r>
    </w:p>
    <w:p w:rsidR="00172434" w:rsidRPr="00DD2E8D" w:rsidRDefault="00172434" w:rsidP="00DD2E8D">
      <w:pPr>
        <w:spacing w:after="0" w:line="480" w:lineRule="auto"/>
        <w:rPr>
          <w:rFonts w:ascii="Times New Roman" w:hAnsi="Times New Roman" w:cs="Times New Roman"/>
          <w:color w:val="222222"/>
          <w:sz w:val="24"/>
          <w:szCs w:val="24"/>
          <w:shd w:val="clear" w:color="auto" w:fill="FFFFFF"/>
        </w:rPr>
      </w:pPr>
      <w:r w:rsidRPr="00DD2E8D">
        <w:rPr>
          <w:rFonts w:ascii="Times New Roman" w:hAnsi="Times New Roman" w:cs="Times New Roman"/>
          <w:color w:val="222222"/>
          <w:sz w:val="24"/>
          <w:szCs w:val="24"/>
          <w:shd w:val="clear" w:color="auto" w:fill="FFFFFF"/>
        </w:rPr>
        <w:t>Jester, B. J., Uyeki, T. M., Patel, A., Koonin, L., &amp; Jernigan, D. B. (2018). 100 Years of Medical</w:t>
      </w:r>
      <w:r w:rsidRPr="00DD2E8D">
        <w:rPr>
          <w:rFonts w:ascii="Times New Roman" w:hAnsi="Times New Roman" w:cs="Times New Roman"/>
          <w:color w:val="222222"/>
          <w:sz w:val="24"/>
          <w:szCs w:val="24"/>
          <w:shd w:val="clear" w:color="auto" w:fill="FFFFFF"/>
        </w:rPr>
        <w:tab/>
        <w:t>Countermeasures and Pandemic Influenza Preparedness. </w:t>
      </w:r>
      <w:r w:rsidRPr="00DD2E8D">
        <w:rPr>
          <w:rFonts w:ascii="Times New Roman" w:hAnsi="Times New Roman" w:cs="Times New Roman"/>
          <w:i/>
          <w:iCs/>
          <w:color w:val="222222"/>
          <w:sz w:val="24"/>
          <w:szCs w:val="24"/>
          <w:shd w:val="clear" w:color="auto" w:fill="FFFFFF"/>
        </w:rPr>
        <w:t>American journal of public</w:t>
      </w:r>
      <w:r w:rsidRPr="00DD2E8D">
        <w:rPr>
          <w:rFonts w:ascii="Times New Roman" w:hAnsi="Times New Roman" w:cs="Times New Roman"/>
          <w:i/>
          <w:iCs/>
          <w:color w:val="222222"/>
          <w:sz w:val="24"/>
          <w:szCs w:val="24"/>
          <w:shd w:val="clear" w:color="auto" w:fill="FFFFFF"/>
        </w:rPr>
        <w:tab/>
        <w:t>health</w:t>
      </w:r>
      <w:r w:rsidRPr="00DD2E8D">
        <w:rPr>
          <w:rFonts w:ascii="Times New Roman" w:hAnsi="Times New Roman" w:cs="Times New Roman"/>
          <w:color w:val="222222"/>
          <w:sz w:val="24"/>
          <w:szCs w:val="24"/>
          <w:shd w:val="clear" w:color="auto" w:fill="FFFFFF"/>
        </w:rPr>
        <w:t>, </w:t>
      </w:r>
      <w:r w:rsidRPr="00DD2E8D">
        <w:rPr>
          <w:rFonts w:ascii="Times New Roman" w:hAnsi="Times New Roman" w:cs="Times New Roman"/>
          <w:i/>
          <w:iCs/>
          <w:color w:val="222222"/>
          <w:sz w:val="24"/>
          <w:szCs w:val="24"/>
          <w:shd w:val="clear" w:color="auto" w:fill="FFFFFF"/>
        </w:rPr>
        <w:t>108</w:t>
      </w:r>
      <w:r w:rsidRPr="00DD2E8D">
        <w:rPr>
          <w:rFonts w:ascii="Times New Roman" w:hAnsi="Times New Roman" w:cs="Times New Roman"/>
          <w:color w:val="222222"/>
          <w:sz w:val="24"/>
          <w:szCs w:val="24"/>
          <w:shd w:val="clear" w:color="auto" w:fill="FFFFFF"/>
        </w:rPr>
        <w:t xml:space="preserve">(11), 1469-1472. </w:t>
      </w:r>
    </w:p>
    <w:p w:rsidR="00172434" w:rsidRPr="00DD2E8D" w:rsidRDefault="00172434" w:rsidP="00DD2E8D">
      <w:pPr>
        <w:spacing w:after="0" w:line="480" w:lineRule="auto"/>
        <w:rPr>
          <w:rFonts w:ascii="Times New Roman" w:hAnsi="Times New Roman" w:cs="Times New Roman"/>
          <w:color w:val="222222"/>
          <w:sz w:val="24"/>
          <w:szCs w:val="24"/>
          <w:shd w:val="clear" w:color="auto" w:fill="FFFFFF"/>
        </w:rPr>
      </w:pPr>
      <w:r w:rsidRPr="00DD2E8D">
        <w:rPr>
          <w:rFonts w:ascii="Times New Roman" w:hAnsi="Times New Roman" w:cs="Times New Roman"/>
          <w:color w:val="222222"/>
          <w:sz w:val="24"/>
          <w:szCs w:val="24"/>
          <w:shd w:val="clear" w:color="auto" w:fill="FFFFFF"/>
        </w:rPr>
        <w:t>National Research Council. (2004). </w:t>
      </w:r>
      <w:r w:rsidR="00DD2E8D" w:rsidRPr="00DD2E8D">
        <w:rPr>
          <w:rFonts w:ascii="Times New Roman" w:hAnsi="Times New Roman" w:cs="Times New Roman"/>
          <w:i/>
          <w:iCs/>
          <w:color w:val="222222"/>
          <w:sz w:val="24"/>
          <w:szCs w:val="24"/>
          <w:shd w:val="clear" w:color="auto" w:fill="FFFFFF"/>
        </w:rPr>
        <w:t>giving</w:t>
      </w:r>
      <w:r w:rsidRPr="00DD2E8D">
        <w:rPr>
          <w:rFonts w:ascii="Times New Roman" w:hAnsi="Times New Roman" w:cs="Times New Roman"/>
          <w:i/>
          <w:iCs/>
          <w:color w:val="222222"/>
          <w:sz w:val="24"/>
          <w:szCs w:val="24"/>
          <w:shd w:val="clear" w:color="auto" w:fill="FFFFFF"/>
        </w:rPr>
        <w:t xml:space="preserve"> full measure to countermeasures: Addressing</w:t>
      </w:r>
      <w:r w:rsidRPr="00DD2E8D">
        <w:rPr>
          <w:rFonts w:ascii="Times New Roman" w:hAnsi="Times New Roman" w:cs="Times New Roman"/>
          <w:i/>
          <w:iCs/>
          <w:color w:val="222222"/>
          <w:sz w:val="24"/>
          <w:szCs w:val="24"/>
          <w:shd w:val="clear" w:color="auto" w:fill="FFFFFF"/>
        </w:rPr>
        <w:tab/>
        <w:t xml:space="preserve">problems in the </w:t>
      </w:r>
      <w:r w:rsidR="00DD2E8D" w:rsidRPr="00DD2E8D">
        <w:rPr>
          <w:rFonts w:ascii="Times New Roman" w:hAnsi="Times New Roman" w:cs="Times New Roman"/>
          <w:i/>
          <w:iCs/>
          <w:color w:val="222222"/>
          <w:sz w:val="24"/>
          <w:szCs w:val="24"/>
          <w:shd w:val="clear" w:color="auto" w:fill="FFFFFF"/>
        </w:rPr>
        <w:t>DOD</w:t>
      </w:r>
      <w:r w:rsidRPr="00DD2E8D">
        <w:rPr>
          <w:rFonts w:ascii="Times New Roman" w:hAnsi="Times New Roman" w:cs="Times New Roman"/>
          <w:i/>
          <w:iCs/>
          <w:color w:val="222222"/>
          <w:sz w:val="24"/>
          <w:szCs w:val="24"/>
          <w:shd w:val="clear" w:color="auto" w:fill="FFFFFF"/>
        </w:rPr>
        <w:t xml:space="preserve"> program to develop medical countermeasures against biological</w:t>
      </w:r>
      <w:r w:rsidRPr="00DD2E8D">
        <w:rPr>
          <w:rFonts w:ascii="Times New Roman" w:hAnsi="Times New Roman" w:cs="Times New Roman"/>
          <w:i/>
          <w:iCs/>
          <w:color w:val="222222"/>
          <w:sz w:val="24"/>
          <w:szCs w:val="24"/>
          <w:shd w:val="clear" w:color="auto" w:fill="FFFFFF"/>
        </w:rPr>
        <w:tab/>
        <w:t>warfare agents</w:t>
      </w:r>
      <w:r w:rsidRPr="00DD2E8D">
        <w:rPr>
          <w:rFonts w:ascii="Times New Roman" w:hAnsi="Times New Roman" w:cs="Times New Roman"/>
          <w:color w:val="222222"/>
          <w:sz w:val="24"/>
          <w:szCs w:val="24"/>
          <w:shd w:val="clear" w:color="auto" w:fill="FFFFFF"/>
        </w:rPr>
        <w:t>. National Academies Press.</w:t>
      </w:r>
    </w:p>
    <w:p w:rsidR="00DD2E8D" w:rsidRPr="00DD2E8D" w:rsidRDefault="00DD2E8D" w:rsidP="00DD2E8D">
      <w:pPr>
        <w:spacing w:after="0" w:line="480" w:lineRule="auto"/>
        <w:rPr>
          <w:rFonts w:ascii="Times New Roman" w:hAnsi="Times New Roman" w:cs="Times New Roman"/>
          <w:color w:val="222222"/>
          <w:sz w:val="24"/>
          <w:szCs w:val="24"/>
          <w:shd w:val="clear" w:color="auto" w:fill="FFFFFF"/>
        </w:rPr>
      </w:pPr>
      <w:r w:rsidRPr="00DD2E8D">
        <w:rPr>
          <w:rFonts w:ascii="Times New Roman" w:hAnsi="Times New Roman" w:cs="Times New Roman"/>
          <w:color w:val="222222"/>
          <w:sz w:val="24"/>
          <w:szCs w:val="24"/>
          <w:shd w:val="clear" w:color="auto" w:fill="FFFFFF"/>
        </w:rPr>
        <w:t>Perry, I. A., Noe, R. S., &amp; Stewart, A. (2018). Use of Medical</w:t>
      </w:r>
      <w:r>
        <w:rPr>
          <w:rFonts w:ascii="Times New Roman" w:hAnsi="Times New Roman" w:cs="Times New Roman"/>
          <w:color w:val="222222"/>
          <w:sz w:val="24"/>
          <w:szCs w:val="24"/>
          <w:shd w:val="clear" w:color="auto" w:fill="FFFFFF"/>
        </w:rPr>
        <w:t xml:space="preserve"> Countermeasures in Small-Scale</w:t>
      </w:r>
      <w:r>
        <w:rPr>
          <w:rFonts w:ascii="Times New Roman" w:hAnsi="Times New Roman" w:cs="Times New Roman"/>
          <w:color w:val="222222"/>
          <w:sz w:val="24"/>
          <w:szCs w:val="24"/>
          <w:shd w:val="clear" w:color="auto" w:fill="FFFFFF"/>
        </w:rPr>
        <w:tab/>
      </w:r>
      <w:r w:rsidRPr="00DD2E8D">
        <w:rPr>
          <w:rFonts w:ascii="Times New Roman" w:hAnsi="Times New Roman" w:cs="Times New Roman"/>
          <w:color w:val="222222"/>
          <w:sz w:val="24"/>
          <w:szCs w:val="24"/>
          <w:shd w:val="clear" w:color="auto" w:fill="FFFFFF"/>
        </w:rPr>
        <w:t>Emergency Responses. </w:t>
      </w:r>
      <w:r w:rsidRPr="00DD2E8D">
        <w:rPr>
          <w:rFonts w:ascii="Times New Roman" w:hAnsi="Times New Roman" w:cs="Times New Roman"/>
          <w:i/>
          <w:iCs/>
          <w:color w:val="222222"/>
          <w:sz w:val="24"/>
          <w:szCs w:val="24"/>
          <w:shd w:val="clear" w:color="auto" w:fill="FFFFFF"/>
        </w:rPr>
        <w:t>American journal of public health</w:t>
      </w:r>
      <w:r w:rsidRPr="00DD2E8D">
        <w:rPr>
          <w:rFonts w:ascii="Times New Roman" w:hAnsi="Times New Roman" w:cs="Times New Roman"/>
          <w:color w:val="222222"/>
          <w:sz w:val="24"/>
          <w:szCs w:val="24"/>
          <w:shd w:val="clear" w:color="auto" w:fill="FFFFFF"/>
        </w:rPr>
        <w:t>, </w:t>
      </w:r>
      <w:r w:rsidRPr="00DD2E8D">
        <w:rPr>
          <w:rFonts w:ascii="Times New Roman" w:hAnsi="Times New Roman" w:cs="Times New Roman"/>
          <w:i/>
          <w:iCs/>
          <w:color w:val="222222"/>
          <w:sz w:val="24"/>
          <w:szCs w:val="24"/>
          <w:shd w:val="clear" w:color="auto" w:fill="FFFFFF"/>
        </w:rPr>
        <w:t>108</w:t>
      </w:r>
      <w:r w:rsidRPr="00DD2E8D">
        <w:rPr>
          <w:rFonts w:ascii="Times New Roman" w:hAnsi="Times New Roman" w:cs="Times New Roman"/>
          <w:color w:val="222222"/>
          <w:sz w:val="24"/>
          <w:szCs w:val="24"/>
          <w:shd w:val="clear" w:color="auto" w:fill="FFFFFF"/>
        </w:rPr>
        <w:t>(S3), S196-S201.</w:t>
      </w: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spacing w:line="480" w:lineRule="auto"/>
        <w:rPr>
          <w:rFonts w:ascii="Times New Roman" w:hAnsi="Times New Roman" w:cs="Times New Roman"/>
          <w:sz w:val="24"/>
          <w:szCs w:val="24"/>
        </w:rPr>
      </w:pPr>
    </w:p>
    <w:p w:rsidR="00172434" w:rsidRPr="00DD2E8D" w:rsidRDefault="00172434" w:rsidP="00DD2E8D">
      <w:pPr>
        <w:tabs>
          <w:tab w:val="left" w:pos="6240"/>
        </w:tabs>
        <w:spacing w:line="480" w:lineRule="auto"/>
        <w:rPr>
          <w:rFonts w:ascii="Times New Roman" w:hAnsi="Times New Roman" w:cs="Times New Roman"/>
          <w:sz w:val="24"/>
          <w:szCs w:val="24"/>
        </w:rPr>
      </w:pPr>
      <w:r w:rsidRPr="00DD2E8D">
        <w:rPr>
          <w:rFonts w:ascii="Times New Roman" w:hAnsi="Times New Roman" w:cs="Times New Roman"/>
          <w:sz w:val="24"/>
          <w:szCs w:val="24"/>
        </w:rPr>
        <w:tab/>
      </w:r>
    </w:p>
    <w:sectPr w:rsidR="00172434" w:rsidRPr="00DD2E8D" w:rsidSect="001724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EE6" w:rsidRDefault="00AE4EE6" w:rsidP="00172434">
      <w:pPr>
        <w:spacing w:after="0" w:line="240" w:lineRule="auto"/>
      </w:pPr>
      <w:r>
        <w:separator/>
      </w:r>
    </w:p>
  </w:endnote>
  <w:endnote w:type="continuationSeparator" w:id="1">
    <w:p w:rsidR="00AE4EE6" w:rsidRDefault="00AE4EE6" w:rsidP="001724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EE6" w:rsidRDefault="00AE4EE6" w:rsidP="00172434">
      <w:pPr>
        <w:spacing w:after="0" w:line="240" w:lineRule="auto"/>
      </w:pPr>
      <w:r>
        <w:separator/>
      </w:r>
    </w:p>
  </w:footnote>
  <w:footnote w:type="continuationSeparator" w:id="1">
    <w:p w:rsidR="00AE4EE6" w:rsidRDefault="00AE4EE6" w:rsidP="001724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D9" w:rsidRPr="00172434" w:rsidRDefault="004B57D9" w:rsidP="00172434">
    <w:pPr>
      <w:pStyle w:val="Header"/>
      <w:spacing w:line="480" w:lineRule="auto"/>
      <w:jc w:val="right"/>
      <w:rPr>
        <w:rFonts w:ascii="Times New Roman" w:hAnsi="Times New Roman" w:cs="Times New Roman"/>
        <w:sz w:val="24"/>
        <w:szCs w:val="24"/>
      </w:rPr>
    </w:pPr>
    <w:r w:rsidRPr="00172434">
      <w:rPr>
        <w:rFonts w:ascii="Times New Roman" w:hAnsi="Times New Roman" w:cs="Times New Roman"/>
        <w:sz w:val="24"/>
        <w:szCs w:val="24"/>
      </w:rPr>
      <w:t xml:space="preserve">MEDICAL COUNTERMEASURES </w:t>
    </w:r>
    <w:r w:rsidRPr="00172434">
      <w:rPr>
        <w:rFonts w:ascii="Times New Roman" w:hAnsi="Times New Roman" w:cs="Times New Roman"/>
        <w:sz w:val="24"/>
        <w:szCs w:val="24"/>
      </w:rPr>
      <w:tab/>
    </w:r>
    <w:r w:rsidRPr="00172434">
      <w:rPr>
        <w:rFonts w:ascii="Times New Roman" w:hAnsi="Times New Roman" w:cs="Times New Roman"/>
        <w:sz w:val="24"/>
        <w:szCs w:val="24"/>
      </w:rPr>
      <w:tab/>
    </w:r>
    <w:sdt>
      <w:sdtPr>
        <w:rPr>
          <w:rFonts w:ascii="Times New Roman" w:hAnsi="Times New Roman" w:cs="Times New Roman"/>
          <w:sz w:val="24"/>
          <w:szCs w:val="24"/>
        </w:rPr>
        <w:id w:val="3911526"/>
        <w:docPartObj>
          <w:docPartGallery w:val="Page Numbers (Top of Page)"/>
          <w:docPartUnique/>
        </w:docPartObj>
      </w:sdtPr>
      <w:sdtContent>
        <w:r w:rsidRPr="00172434">
          <w:rPr>
            <w:rFonts w:ascii="Times New Roman" w:hAnsi="Times New Roman" w:cs="Times New Roman"/>
            <w:sz w:val="24"/>
            <w:szCs w:val="24"/>
          </w:rPr>
          <w:fldChar w:fldCharType="begin"/>
        </w:r>
        <w:r w:rsidRPr="00172434">
          <w:rPr>
            <w:rFonts w:ascii="Times New Roman" w:hAnsi="Times New Roman" w:cs="Times New Roman"/>
            <w:sz w:val="24"/>
            <w:szCs w:val="24"/>
          </w:rPr>
          <w:instrText xml:space="preserve"> PAGE   \* MERGEFORMAT </w:instrText>
        </w:r>
        <w:r w:rsidRPr="00172434">
          <w:rPr>
            <w:rFonts w:ascii="Times New Roman" w:hAnsi="Times New Roman" w:cs="Times New Roman"/>
            <w:sz w:val="24"/>
            <w:szCs w:val="24"/>
          </w:rPr>
          <w:fldChar w:fldCharType="separate"/>
        </w:r>
        <w:r w:rsidR="00DD2E8D">
          <w:rPr>
            <w:rFonts w:ascii="Times New Roman" w:hAnsi="Times New Roman" w:cs="Times New Roman"/>
            <w:noProof/>
            <w:sz w:val="24"/>
            <w:szCs w:val="24"/>
          </w:rPr>
          <w:t>4</w:t>
        </w:r>
        <w:r w:rsidRPr="0017243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D9" w:rsidRPr="00172434" w:rsidRDefault="004B57D9" w:rsidP="00172434">
    <w:pPr>
      <w:spacing w:line="480" w:lineRule="auto"/>
      <w:rPr>
        <w:rFonts w:ascii="Times New Roman" w:hAnsi="Times New Roman" w:cs="Times New Roman"/>
        <w:sz w:val="24"/>
        <w:szCs w:val="24"/>
      </w:rPr>
    </w:pPr>
    <w:r w:rsidRPr="00172434">
      <w:rPr>
        <w:rFonts w:ascii="Times New Roman" w:hAnsi="Times New Roman" w:cs="Times New Roman"/>
        <w:sz w:val="24"/>
        <w:szCs w:val="24"/>
      </w:rPr>
      <w:t xml:space="preserve">Running Head: MEDICAL COUNTERMEASURES </w:t>
    </w:r>
    <w:sdt>
      <w:sdtPr>
        <w:rPr>
          <w:rFonts w:ascii="Times New Roman" w:hAnsi="Times New Roman" w:cs="Times New Roman"/>
          <w:sz w:val="24"/>
          <w:szCs w:val="24"/>
        </w:rPr>
        <w:id w:val="3911485"/>
        <w:docPartObj>
          <w:docPartGallery w:val="Page Numbers (Top of Page)"/>
          <w:docPartUnique/>
        </w:docPartObj>
      </w:sdtPr>
      <w:sdtContent>
        <w:r w:rsidRPr="00172434">
          <w:rPr>
            <w:rFonts w:ascii="Times New Roman" w:hAnsi="Times New Roman" w:cs="Times New Roman"/>
            <w:sz w:val="24"/>
            <w:szCs w:val="24"/>
          </w:rPr>
          <w:tab/>
        </w:r>
        <w:r w:rsidRPr="00172434">
          <w:rPr>
            <w:rFonts w:ascii="Times New Roman" w:hAnsi="Times New Roman" w:cs="Times New Roman"/>
            <w:sz w:val="24"/>
            <w:szCs w:val="24"/>
          </w:rPr>
          <w:tab/>
        </w:r>
        <w:r w:rsidRPr="00172434">
          <w:rPr>
            <w:rFonts w:ascii="Times New Roman" w:hAnsi="Times New Roman" w:cs="Times New Roman"/>
            <w:sz w:val="24"/>
            <w:szCs w:val="24"/>
          </w:rPr>
          <w:tab/>
        </w:r>
        <w:r w:rsidRPr="00172434">
          <w:rPr>
            <w:rFonts w:ascii="Times New Roman" w:hAnsi="Times New Roman" w:cs="Times New Roman"/>
            <w:sz w:val="24"/>
            <w:szCs w:val="24"/>
          </w:rPr>
          <w:tab/>
        </w:r>
        <w:r w:rsidRPr="00172434">
          <w:rPr>
            <w:rFonts w:ascii="Times New Roman" w:hAnsi="Times New Roman" w:cs="Times New Roman"/>
            <w:sz w:val="24"/>
            <w:szCs w:val="24"/>
          </w:rPr>
          <w:tab/>
        </w:r>
        <w:r w:rsidRPr="00172434">
          <w:rPr>
            <w:rFonts w:ascii="Times New Roman" w:hAnsi="Times New Roman" w:cs="Times New Roman"/>
            <w:sz w:val="24"/>
            <w:szCs w:val="24"/>
          </w:rPr>
          <w:fldChar w:fldCharType="begin"/>
        </w:r>
        <w:r w:rsidRPr="00172434">
          <w:rPr>
            <w:rFonts w:ascii="Times New Roman" w:hAnsi="Times New Roman" w:cs="Times New Roman"/>
            <w:sz w:val="24"/>
            <w:szCs w:val="24"/>
          </w:rPr>
          <w:instrText xml:space="preserve"> PAGE   \* MERGEFORMAT </w:instrText>
        </w:r>
        <w:r w:rsidRPr="00172434">
          <w:rPr>
            <w:rFonts w:ascii="Times New Roman" w:hAnsi="Times New Roman" w:cs="Times New Roman"/>
            <w:sz w:val="24"/>
            <w:szCs w:val="24"/>
          </w:rPr>
          <w:fldChar w:fldCharType="separate"/>
        </w:r>
        <w:r w:rsidR="00DD2E8D">
          <w:rPr>
            <w:rFonts w:ascii="Times New Roman" w:hAnsi="Times New Roman" w:cs="Times New Roman"/>
            <w:noProof/>
            <w:sz w:val="24"/>
            <w:szCs w:val="24"/>
          </w:rPr>
          <w:t>1</w:t>
        </w:r>
        <w:r w:rsidRPr="0017243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62226"/>
    <w:rsid w:val="00063BD5"/>
    <w:rsid w:val="00172434"/>
    <w:rsid w:val="001C5AB2"/>
    <w:rsid w:val="0023640E"/>
    <w:rsid w:val="004B57D9"/>
    <w:rsid w:val="00527574"/>
    <w:rsid w:val="0055154E"/>
    <w:rsid w:val="00552AEA"/>
    <w:rsid w:val="00552EA0"/>
    <w:rsid w:val="00962226"/>
    <w:rsid w:val="00AE4EE6"/>
    <w:rsid w:val="00B26E7B"/>
    <w:rsid w:val="00B545AD"/>
    <w:rsid w:val="00BE3250"/>
    <w:rsid w:val="00C13288"/>
    <w:rsid w:val="00D30AFC"/>
    <w:rsid w:val="00D46F73"/>
    <w:rsid w:val="00DA5640"/>
    <w:rsid w:val="00DD2E8D"/>
    <w:rsid w:val="00E10E96"/>
    <w:rsid w:val="00E37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434"/>
  </w:style>
  <w:style w:type="paragraph" w:styleId="Footer">
    <w:name w:val="footer"/>
    <w:basedOn w:val="Normal"/>
    <w:link w:val="FooterChar"/>
    <w:uiPriority w:val="99"/>
    <w:semiHidden/>
    <w:unhideWhenUsed/>
    <w:rsid w:val="001724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24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cp:revision>
  <dcterms:created xsi:type="dcterms:W3CDTF">2019-08-01T06:46:00Z</dcterms:created>
  <dcterms:modified xsi:type="dcterms:W3CDTF">2019-08-02T10:26:00Z</dcterms:modified>
</cp:coreProperties>
</file>