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437CE" w:rsidRDefault="00E90CAC">
      <w:pPr>
        <w:pStyle w:val="Title2"/>
      </w:pPr>
      <w:r>
        <w:rPr>
          <w:rFonts w:ascii="Times New Roman" w:eastAsiaTheme="majorEastAsia" w:hAnsi="Times New Roman" w:cs="Times New Roman"/>
          <w:b/>
          <w:bCs/>
        </w:rPr>
        <w:t>Medication Paper</w:t>
      </w:r>
    </w:p>
    <w:p w:rsidR="00C437CE" w:rsidRDefault="00C437CE">
      <w:pPr>
        <w:pStyle w:val="Title2"/>
      </w:pPr>
    </w:p>
    <w:p w:rsidR="00C437CE" w:rsidRDefault="00C437CE">
      <w:pPr>
        <w:pStyle w:val="Title2"/>
      </w:pPr>
      <w:r>
        <w:t>Name</w:t>
      </w:r>
    </w:p>
    <w:p w:rsidR="004D6B86" w:rsidRDefault="00C437CE" w:rsidP="00C437CE">
      <w:pPr>
        <w:pStyle w:val="Title2"/>
        <w:tabs>
          <w:tab w:val="center" w:pos="4680"/>
          <w:tab w:val="left" w:pos="6315"/>
        </w:tabs>
        <w:jc w:val="left"/>
      </w:pPr>
      <w:r>
        <w:tab/>
      </w:r>
      <w:sdt>
        <w:sdtPr>
          <w:alias w:val="Enter institutional affiliation(s):"/>
          <w:tag w:val="Enter institutional affiliation(s):"/>
          <w:id w:val="2102991146"/>
          <w:placeholder>
            <w:docPart w:val="5C711A7C64C8484B95317D117EB2DB3C"/>
          </w:placeholder>
          <w:temporary/>
          <w:showingPlcHdr/>
          <w15:appearance w15:val="hidden"/>
        </w:sdtPr>
        <w:sdtEndPr/>
        <w:sdtContent>
          <w:r w:rsidR="00A4757D">
            <w:t>Institutional Affiliation(s)</w:t>
          </w:r>
        </w:sdtContent>
      </w:sdt>
      <w:r>
        <w:tab/>
      </w:r>
    </w:p>
    <w:p w:rsidR="00C437CE" w:rsidRDefault="00C437CE" w:rsidP="00C437CE">
      <w:pPr>
        <w:pStyle w:val="Title2"/>
        <w:tabs>
          <w:tab w:val="center" w:pos="4680"/>
          <w:tab w:val="left" w:pos="6315"/>
        </w:tabs>
        <w:jc w:val="left"/>
      </w:pPr>
      <w:r>
        <w:t xml:space="preserve">                                                                       Instructor</w:t>
      </w:r>
    </w:p>
    <w:p w:rsidR="00C437CE" w:rsidRDefault="00C437CE" w:rsidP="00C437CE">
      <w:pPr>
        <w:pStyle w:val="Title2"/>
        <w:tabs>
          <w:tab w:val="center" w:pos="4680"/>
          <w:tab w:val="left" w:pos="6315"/>
        </w:tabs>
        <w:jc w:val="left"/>
      </w:pPr>
      <w:r>
        <w:t xml:space="preserve">                                                                           Date</w:t>
      </w:r>
    </w:p>
    <w:p w:rsidR="004D6B86" w:rsidRDefault="004D6B86"/>
    <w:p w:rsidR="00C437CE" w:rsidRDefault="00C437CE"/>
    <w:p w:rsidR="00C437CE" w:rsidRDefault="00C437CE"/>
    <w:p w:rsidR="00C437CE" w:rsidRDefault="00C437CE"/>
    <w:p w:rsidR="00C437CE" w:rsidRDefault="00C437CE"/>
    <w:p w:rsidR="00C437CE" w:rsidRDefault="00C437CE"/>
    <w:p w:rsidR="00C437CE" w:rsidRDefault="00C437CE"/>
    <w:p w:rsidR="00C437CE" w:rsidRDefault="00C437CE"/>
    <w:p w:rsidR="00C437CE" w:rsidRDefault="00C437CE"/>
    <w:p w:rsidR="00C437CE" w:rsidRDefault="00C437CE"/>
    <w:p w:rsidR="00C437CE" w:rsidRDefault="00C437CE"/>
    <w:p w:rsidR="00C437CE" w:rsidRDefault="00C437CE"/>
    <w:p w:rsidR="00AF0CD4" w:rsidRDefault="00AF0CD4"/>
    <w:p w:rsidR="00AF0CD4" w:rsidRDefault="00AF0CD4"/>
    <w:p w:rsidR="00AF0CD4" w:rsidRDefault="00AF0CD4"/>
    <w:p w:rsidR="00AF0CD4" w:rsidRDefault="00AF0CD4"/>
    <w:p w:rsidR="00AF0CD4" w:rsidRDefault="00AF0CD4"/>
    <w:p w:rsidR="00C0096F" w:rsidRDefault="00E90CAC" w:rsidP="00C0096F">
      <w:pPr>
        <w:ind w:firstLine="0"/>
        <w:jc w:val="center"/>
        <w:rPr>
          <w:b/>
          <w:bCs/>
        </w:rPr>
      </w:pPr>
      <w:r>
        <w:rPr>
          <w:b/>
          <w:bCs/>
        </w:rPr>
        <w:t>Oxbryta</w:t>
      </w:r>
      <w:r w:rsidR="00410C47">
        <w:rPr>
          <w:b/>
          <w:bCs/>
        </w:rPr>
        <w:t xml:space="preserve"> (Voxeletor)</w:t>
      </w:r>
    </w:p>
    <w:p w:rsidR="00410C47" w:rsidRDefault="00410C47" w:rsidP="00410C47">
      <w:pPr>
        <w:ind w:firstLine="0"/>
        <w:rPr>
          <w:b/>
          <w:bCs/>
        </w:rPr>
      </w:pPr>
      <w:r>
        <w:rPr>
          <w:b/>
          <w:bCs/>
        </w:rPr>
        <w:lastRenderedPageBreak/>
        <w:t>Abstract</w:t>
      </w:r>
    </w:p>
    <w:p w:rsidR="00410C47" w:rsidRDefault="00410C47" w:rsidP="0086477C">
      <w:pPr>
        <w:rPr>
          <w:bCs/>
        </w:rPr>
      </w:pPr>
      <w:r w:rsidRPr="00410C47">
        <w:rPr>
          <w:bCs/>
        </w:rPr>
        <w:t>Oxbryta is the business name of the active drug Voxelotor. Voxelotor is a hemoglobin S polymerization inhibitor.</w:t>
      </w:r>
      <w:r>
        <w:rPr>
          <w:bCs/>
        </w:rPr>
        <w:t xml:space="preserve"> It is a white to yellow variant active drug substance that is highly soluble in organic solvents such as acetone. Each tablet contains 500 mg of voxelotor </w:t>
      </w:r>
      <w:r w:rsidR="000D025E">
        <w:rPr>
          <w:bCs/>
        </w:rPr>
        <w:t>with a combination of</w:t>
      </w:r>
      <w:r w:rsidR="00A8458D">
        <w:rPr>
          <w:bCs/>
        </w:rPr>
        <w:t xml:space="preserve"> inactive ingredients</w:t>
      </w:r>
      <w:r w:rsidR="000D025E">
        <w:rPr>
          <w:bCs/>
        </w:rPr>
        <w:t>. It is used to treat sickle cell disease in adults and children over 12 years.</w:t>
      </w:r>
      <w:r w:rsidR="008D1BAC">
        <w:rPr>
          <w:bCs/>
        </w:rPr>
        <w:t xml:space="preserve"> </w:t>
      </w:r>
      <w:r w:rsidR="0086477C" w:rsidRPr="0086477C">
        <w:rPr>
          <w:bCs/>
        </w:rPr>
        <w:t>(Rxlist, 2019).</w:t>
      </w:r>
    </w:p>
    <w:p w:rsidR="008D1BAC" w:rsidRDefault="008D1BAC" w:rsidP="008D1BAC">
      <w:pPr>
        <w:ind w:firstLine="0"/>
        <w:rPr>
          <w:bCs/>
        </w:rPr>
      </w:pPr>
      <w:r>
        <w:rPr>
          <w:bCs/>
        </w:rPr>
        <w:t>I. Introduction</w:t>
      </w:r>
    </w:p>
    <w:p w:rsidR="008D1BAC" w:rsidRDefault="008D1BAC" w:rsidP="008D1BAC">
      <w:pPr>
        <w:ind w:firstLine="0"/>
        <w:rPr>
          <w:bCs/>
        </w:rPr>
      </w:pPr>
      <w:r>
        <w:rPr>
          <w:bCs/>
        </w:rPr>
        <w:t>People with sickle cell disease have abnormal haemoglobin S. Voxelotor is a haemoglobin S polymer</w:t>
      </w:r>
      <w:r w:rsidR="0086477C">
        <w:rPr>
          <w:bCs/>
        </w:rPr>
        <w:t>ization inhibitor (Rxlist, 2019).</w:t>
      </w:r>
    </w:p>
    <w:p w:rsidR="008D1BAC" w:rsidRDefault="006E21AC" w:rsidP="008D1BAC">
      <w:pPr>
        <w:ind w:firstLine="0"/>
        <w:rPr>
          <w:bCs/>
        </w:rPr>
      </w:pPr>
      <w:r>
        <w:rPr>
          <w:bCs/>
        </w:rPr>
        <w:t>II. Body Paragraphs</w:t>
      </w:r>
    </w:p>
    <w:p w:rsidR="006E21AC" w:rsidRDefault="004B55F7" w:rsidP="008D1BAC">
      <w:pPr>
        <w:ind w:firstLine="0"/>
        <w:rPr>
          <w:bCs/>
        </w:rPr>
      </w:pPr>
      <w:r>
        <w:rPr>
          <w:bCs/>
        </w:rPr>
        <w:t xml:space="preserve">A. </w:t>
      </w:r>
      <w:r w:rsidR="006E21AC">
        <w:rPr>
          <w:bCs/>
        </w:rPr>
        <w:t>Indications</w:t>
      </w:r>
    </w:p>
    <w:p w:rsidR="008D1BAC" w:rsidRDefault="006E21AC" w:rsidP="008D1BAC">
      <w:pPr>
        <w:ind w:firstLine="0"/>
        <w:rPr>
          <w:bCs/>
        </w:rPr>
      </w:pPr>
      <w:r>
        <w:rPr>
          <w:bCs/>
        </w:rPr>
        <w:t xml:space="preserve">       i. </w:t>
      </w:r>
      <w:r w:rsidR="004B55F7">
        <w:rPr>
          <w:bCs/>
        </w:rPr>
        <w:t>The drug is indicated for treatment of sickle cell disease in adults and children over 12 years.</w:t>
      </w:r>
    </w:p>
    <w:p w:rsidR="004B55F7" w:rsidRDefault="006E21AC" w:rsidP="008D1BAC">
      <w:pPr>
        <w:ind w:firstLine="0"/>
        <w:rPr>
          <w:bCs/>
        </w:rPr>
      </w:pPr>
      <w:r>
        <w:rPr>
          <w:bCs/>
        </w:rPr>
        <w:t xml:space="preserve">              1. It is approved based on increase in Haemoglobin.</w:t>
      </w:r>
    </w:p>
    <w:p w:rsidR="006E21AC" w:rsidRDefault="006E21AC" w:rsidP="008D1BAC">
      <w:pPr>
        <w:ind w:firstLine="0"/>
        <w:rPr>
          <w:bCs/>
        </w:rPr>
      </w:pPr>
      <w:r>
        <w:rPr>
          <w:bCs/>
        </w:rPr>
        <w:t xml:space="preserve">              2. Continued approval depends on verification of clinical benefit</w:t>
      </w:r>
      <w:r w:rsidR="0086477C">
        <w:rPr>
          <w:bCs/>
        </w:rPr>
        <w:t xml:space="preserve"> </w:t>
      </w:r>
      <w:r w:rsidR="0086477C" w:rsidRPr="0086477C">
        <w:rPr>
          <w:bCs/>
        </w:rPr>
        <w:t>(Rxlist, 2019).</w:t>
      </w:r>
    </w:p>
    <w:p w:rsidR="006E21AC" w:rsidRDefault="006E21AC" w:rsidP="008D1BAC">
      <w:pPr>
        <w:ind w:firstLine="0"/>
        <w:rPr>
          <w:bCs/>
        </w:rPr>
      </w:pPr>
      <w:r>
        <w:rPr>
          <w:bCs/>
        </w:rPr>
        <w:t>B. Dosage and Administration</w:t>
      </w:r>
    </w:p>
    <w:p w:rsidR="006E21AC" w:rsidRDefault="006E21AC" w:rsidP="006E21AC">
      <w:pPr>
        <w:ind w:firstLine="0"/>
      </w:pPr>
      <w:r>
        <w:rPr>
          <w:bCs/>
        </w:rPr>
        <w:t xml:space="preserve">       i. </w:t>
      </w:r>
      <w:r w:rsidRPr="006E21AC">
        <w:t>Recommende</w:t>
      </w:r>
      <w:r>
        <w:t>d Dosage for sickle cell disease</w:t>
      </w:r>
      <w:r w:rsidR="0086477C">
        <w:t xml:space="preserve"> </w:t>
      </w:r>
      <w:r w:rsidR="0086477C" w:rsidRPr="0086477C">
        <w:t>(Rxlist, 2019).</w:t>
      </w:r>
    </w:p>
    <w:p w:rsidR="006E21AC" w:rsidRDefault="006E21AC" w:rsidP="006E21AC">
      <w:pPr>
        <w:ind w:firstLine="0"/>
      </w:pPr>
      <w:r>
        <w:t xml:space="preserve">               1. An oral daily intake of 1500mg regardless of food intake</w:t>
      </w:r>
    </w:p>
    <w:p w:rsidR="006E21AC" w:rsidRDefault="006E21AC" w:rsidP="006E21AC">
      <w:pPr>
        <w:ind w:firstLine="0"/>
      </w:pPr>
      <w:r>
        <w:t xml:space="preserve">               2. Swallow tablet whole.</w:t>
      </w:r>
    </w:p>
    <w:p w:rsidR="006E21AC" w:rsidRDefault="006E21AC" w:rsidP="006E21AC">
      <w:pPr>
        <w:ind w:firstLine="0"/>
      </w:pPr>
      <w:r>
        <w:t xml:space="preserve">       ii. Recommended Dosage f</w:t>
      </w:r>
      <w:r w:rsidRPr="006E21AC">
        <w:t>or Hepatic Impairment</w:t>
      </w:r>
    </w:p>
    <w:p w:rsidR="006E21AC" w:rsidRDefault="006E21AC" w:rsidP="006E21AC">
      <w:pPr>
        <w:ind w:firstLine="0"/>
      </w:pPr>
      <w:r>
        <w:t xml:space="preserve">               1. </w:t>
      </w:r>
      <w:r w:rsidR="00583659">
        <w:t>For severe impairment a dose of 1000mg is taken.</w:t>
      </w:r>
    </w:p>
    <w:p w:rsidR="0086477C" w:rsidRPr="0086477C" w:rsidRDefault="00583659" w:rsidP="0086477C">
      <w:pPr>
        <w:ind w:firstLine="0"/>
      </w:pPr>
      <w:r>
        <w:t xml:space="preserve">               2. For mild to moderate impairment, use unaltered</w:t>
      </w:r>
      <w:r w:rsidR="0086477C">
        <w:t xml:space="preserve"> sickle cell dosage </w:t>
      </w:r>
      <w:r w:rsidR="0086477C" w:rsidRPr="0086477C">
        <w:t>(Rxlist, 2019).</w:t>
      </w:r>
    </w:p>
    <w:p w:rsidR="00583659" w:rsidRDefault="00583659" w:rsidP="006E21AC">
      <w:pPr>
        <w:ind w:firstLine="0"/>
      </w:pPr>
    </w:p>
    <w:p w:rsidR="00583659" w:rsidRDefault="00583659" w:rsidP="006E21AC">
      <w:pPr>
        <w:ind w:firstLine="0"/>
      </w:pPr>
      <w:r>
        <w:t>C. Contraindications</w:t>
      </w:r>
    </w:p>
    <w:p w:rsidR="00583659" w:rsidRDefault="00583659" w:rsidP="006E21AC">
      <w:pPr>
        <w:ind w:firstLine="0"/>
      </w:pPr>
      <w:r>
        <w:lastRenderedPageBreak/>
        <w:t xml:space="preserve">        i. Adverse reactions include:</w:t>
      </w:r>
    </w:p>
    <w:p w:rsidR="00583659" w:rsidRDefault="00583659" w:rsidP="006E21AC">
      <w:pPr>
        <w:ind w:firstLine="0"/>
      </w:pPr>
      <w:r>
        <w:t xml:space="preserve">              1. Drug hypersensitive.</w:t>
      </w:r>
    </w:p>
    <w:p w:rsidR="00583659" w:rsidRDefault="00583659" w:rsidP="006E21AC">
      <w:pPr>
        <w:ind w:firstLine="0"/>
      </w:pPr>
      <w:r>
        <w:t xml:space="preserve">              2. Headache.</w:t>
      </w:r>
    </w:p>
    <w:p w:rsidR="00583659" w:rsidRDefault="00583659" w:rsidP="006E21AC">
      <w:pPr>
        <w:ind w:firstLine="0"/>
      </w:pPr>
      <w:r>
        <w:t xml:space="preserve">              3. Abdominal pain.</w:t>
      </w:r>
    </w:p>
    <w:p w:rsidR="00583659" w:rsidRDefault="00583659" w:rsidP="006E21AC">
      <w:pPr>
        <w:ind w:firstLine="0"/>
      </w:pPr>
      <w:r>
        <w:t xml:space="preserve">              4. Nausea.</w:t>
      </w:r>
    </w:p>
    <w:p w:rsidR="00583659" w:rsidRDefault="00583659" w:rsidP="006E21AC">
      <w:pPr>
        <w:ind w:firstLine="0"/>
      </w:pPr>
      <w:r>
        <w:t xml:space="preserve"> D. Drug interactions</w:t>
      </w:r>
    </w:p>
    <w:p w:rsidR="00583659" w:rsidRDefault="00583659" w:rsidP="00583659">
      <w:pPr>
        <w:ind w:firstLine="0"/>
      </w:pPr>
      <w:r>
        <w:t xml:space="preserve">        i. </w:t>
      </w:r>
      <w:r w:rsidRPr="00583659">
        <w:t>Fluconazole</w:t>
      </w:r>
      <w:r>
        <w:t xml:space="preserve"> or s</w:t>
      </w:r>
      <w:r w:rsidRPr="00583659">
        <w:t>trong CYP3</w:t>
      </w:r>
      <w:r>
        <w:t>A4 Inhibitors</w:t>
      </w:r>
    </w:p>
    <w:p w:rsidR="00583659" w:rsidRDefault="00583659" w:rsidP="00583659">
      <w:pPr>
        <w:ind w:firstLine="0"/>
      </w:pPr>
      <w:r>
        <w:t xml:space="preserve">              1. Concomitant administration with this drug</w:t>
      </w:r>
      <w:r w:rsidR="00026DC8">
        <w:t>s</w:t>
      </w:r>
      <w:r>
        <w:t xml:space="preserve"> may lead to toxicity.</w:t>
      </w:r>
    </w:p>
    <w:p w:rsidR="00026DC8" w:rsidRDefault="00026DC8" w:rsidP="00026DC8">
      <w:pPr>
        <w:ind w:firstLine="0"/>
      </w:pPr>
      <w:r>
        <w:t xml:space="preserve">        ii. S</w:t>
      </w:r>
      <w:r w:rsidRPr="00026DC8">
        <w:t>trong Or Moderate CYP3A4 Inducers</w:t>
      </w:r>
    </w:p>
    <w:p w:rsidR="00026DC8" w:rsidRDefault="00026DC8" w:rsidP="00026DC8">
      <w:pPr>
        <w:ind w:firstLine="0"/>
      </w:pPr>
      <w:r>
        <w:t xml:space="preserve">              1. </w:t>
      </w:r>
      <w:r w:rsidRPr="00026DC8">
        <w:t>Concomitant administration with this drugs</w:t>
      </w:r>
      <w:r>
        <w:t xml:space="preserve"> may</w:t>
      </w:r>
      <w:r w:rsidR="0086477C">
        <w:t xml:space="preserve"> lead to reduced efficacy (Rxlist, 2019).</w:t>
      </w:r>
    </w:p>
    <w:p w:rsidR="00026DC8" w:rsidRDefault="00026DC8" w:rsidP="00026DC8">
      <w:pPr>
        <w:ind w:firstLine="0"/>
      </w:pPr>
      <w:r>
        <w:t xml:space="preserve">   E. Precautions</w:t>
      </w:r>
    </w:p>
    <w:p w:rsidR="00026DC8" w:rsidRDefault="00026DC8" w:rsidP="00026DC8">
      <w:pPr>
        <w:ind w:firstLine="0"/>
      </w:pPr>
      <w:r>
        <w:t xml:space="preserve">         i. Hypersensitivity</w:t>
      </w:r>
    </w:p>
    <w:p w:rsidR="00026DC8" w:rsidRDefault="00026DC8" w:rsidP="00026DC8">
      <w:pPr>
        <w:ind w:firstLine="0"/>
      </w:pPr>
      <w:r>
        <w:t xml:space="preserve">              1. They include urticarial, generalized rash mild shortness of breath.</w:t>
      </w:r>
    </w:p>
    <w:p w:rsidR="00026DC8" w:rsidRDefault="00026DC8" w:rsidP="00026DC8">
      <w:pPr>
        <w:ind w:firstLine="0"/>
      </w:pPr>
      <w:r>
        <w:t xml:space="preserve">              2. Discontinue administration of Oxbryta with such clinical manifestations.</w:t>
      </w:r>
    </w:p>
    <w:p w:rsidR="00026DC8" w:rsidRDefault="00026DC8" w:rsidP="00026DC8">
      <w:pPr>
        <w:ind w:firstLine="0"/>
      </w:pPr>
      <w:r>
        <w:t xml:space="preserve">         ii. Use in specific populations</w:t>
      </w:r>
    </w:p>
    <w:p w:rsidR="00026DC8" w:rsidRDefault="00026DC8" w:rsidP="00026DC8">
      <w:pPr>
        <w:ind w:firstLine="0"/>
      </w:pPr>
      <w:r>
        <w:t xml:space="preserve">               1. Oxbryta should be administrated during pregnancy only if its benefit outweighs any potential risk it carries.</w:t>
      </w:r>
    </w:p>
    <w:p w:rsidR="00026DC8" w:rsidRDefault="006C2E4D" w:rsidP="00026DC8">
      <w:pPr>
        <w:ind w:firstLine="0"/>
        <w:rPr>
          <w:b/>
        </w:rPr>
      </w:pPr>
      <w:r w:rsidRPr="006C2E4D">
        <w:rPr>
          <w:b/>
        </w:rPr>
        <w:t xml:space="preserve">   Conclusion</w:t>
      </w:r>
    </w:p>
    <w:p w:rsidR="001E73BA" w:rsidRDefault="006C2E4D" w:rsidP="00026DC8">
      <w:pPr>
        <w:ind w:firstLine="0"/>
      </w:pPr>
      <w:r w:rsidRPr="006C2E4D">
        <w:t xml:space="preserve">    Oxbryta is an effective drug for the treatment of sickle cell disease. It should not be administered for a condition that has not been diagnosed. Any concomitant use with a separate drug should be reported.</w:t>
      </w:r>
    </w:p>
    <w:p w:rsidR="006C2E4D" w:rsidRDefault="006C2E4D" w:rsidP="006C2E4D">
      <w:pPr>
        <w:ind w:firstLine="0"/>
        <w:jc w:val="center"/>
        <w:rPr>
          <w:b/>
        </w:rPr>
      </w:pPr>
      <w:r w:rsidRPr="006C2E4D">
        <w:rPr>
          <w:b/>
        </w:rPr>
        <w:t>Works Cited</w:t>
      </w:r>
    </w:p>
    <w:p w:rsidR="00BC287E" w:rsidRPr="001E73BA" w:rsidRDefault="0086477C" w:rsidP="001E73BA">
      <w:pPr>
        <w:ind w:firstLine="0"/>
      </w:pPr>
      <w:r w:rsidRPr="0086477C">
        <w:rPr>
          <w:iCs/>
        </w:rPr>
        <w:lastRenderedPageBreak/>
        <w:t xml:space="preserve">RxList. (2019). </w:t>
      </w:r>
      <w:r w:rsidR="006C2E4D" w:rsidRPr="0086477C">
        <w:rPr>
          <w:iCs/>
        </w:rPr>
        <w:t>Oxbryta (Voxelotor tablets): Uses, dosage, side effects, interactions, warning</w:t>
      </w:r>
      <w:r w:rsidRPr="0086477C">
        <w:t>.</w:t>
      </w:r>
      <w:r>
        <w:t xml:space="preserve"> </w:t>
      </w:r>
      <w:r w:rsidR="006C2E4D" w:rsidRPr="006C2E4D">
        <w:t>https://www.rxlist.com/oxbryta-drug.htm#medguide</w:t>
      </w:r>
    </w:p>
    <w:sectPr w:rsidR="00BC287E" w:rsidRPr="001E73BA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15E90" w:rsidRDefault="00215E90">
      <w:pPr>
        <w:spacing w:line="240" w:lineRule="auto"/>
      </w:pPr>
      <w:r>
        <w:separator/>
      </w:r>
    </w:p>
    <w:p w:rsidR="00215E90" w:rsidRDefault="00215E90"/>
  </w:endnote>
  <w:endnote w:type="continuationSeparator" w:id="0">
    <w:p w:rsidR="00215E90" w:rsidRDefault="00215E90">
      <w:pPr>
        <w:spacing w:line="240" w:lineRule="auto"/>
      </w:pPr>
      <w:r>
        <w:continuationSeparator/>
      </w:r>
    </w:p>
    <w:p w:rsidR="00215E90" w:rsidRDefault="00215E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15E90" w:rsidRDefault="00215E90">
      <w:pPr>
        <w:spacing w:line="240" w:lineRule="auto"/>
      </w:pPr>
      <w:r>
        <w:separator/>
      </w:r>
    </w:p>
    <w:p w:rsidR="00215E90" w:rsidRDefault="00215E90"/>
  </w:footnote>
  <w:footnote w:type="continuationSeparator" w:id="0">
    <w:p w:rsidR="00215E90" w:rsidRDefault="00215E90">
      <w:pPr>
        <w:spacing w:line="240" w:lineRule="auto"/>
      </w:pPr>
      <w:r>
        <w:continuationSeparator/>
      </w:r>
    </w:p>
    <w:p w:rsidR="00215E90" w:rsidRDefault="00215E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B55F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B55F7" w:rsidRPr="00170521" w:rsidRDefault="004B55F7" w:rsidP="001E73BA">
          <w:pPr>
            <w:pStyle w:val="Header"/>
            <w:tabs>
              <w:tab w:val="left" w:pos="990"/>
            </w:tabs>
          </w:pPr>
        </w:p>
      </w:tc>
      <w:tc>
        <w:tcPr>
          <w:tcW w:w="1080" w:type="dxa"/>
        </w:tcPr>
        <w:p w:rsidR="004B55F7" w:rsidRDefault="004B55F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E73BA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4B55F7" w:rsidRDefault="004B55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B55F7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B55F7" w:rsidRPr="009F0414" w:rsidRDefault="004B55F7" w:rsidP="00C437CE">
          <w:pPr>
            <w:pStyle w:val="Header"/>
          </w:pPr>
        </w:p>
      </w:tc>
      <w:tc>
        <w:tcPr>
          <w:tcW w:w="1080" w:type="dxa"/>
        </w:tcPr>
        <w:p w:rsidR="004B55F7" w:rsidRDefault="004B55F7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1E73BA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B55F7" w:rsidRDefault="004B55F7" w:rsidP="002C62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attachedTemplate r:id="rId1"/>
  <w:defaultTabStop w:val="720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7CE"/>
    <w:rsid w:val="00006BBA"/>
    <w:rsid w:val="0001010E"/>
    <w:rsid w:val="000217F5"/>
    <w:rsid w:val="00026DC8"/>
    <w:rsid w:val="000931F7"/>
    <w:rsid w:val="00094FF6"/>
    <w:rsid w:val="00097169"/>
    <w:rsid w:val="000A4D49"/>
    <w:rsid w:val="000B2532"/>
    <w:rsid w:val="000D025E"/>
    <w:rsid w:val="000E207F"/>
    <w:rsid w:val="00114BFA"/>
    <w:rsid w:val="00132B61"/>
    <w:rsid w:val="00144B9B"/>
    <w:rsid w:val="001602E3"/>
    <w:rsid w:val="00160C0C"/>
    <w:rsid w:val="00161496"/>
    <w:rsid w:val="00165BE3"/>
    <w:rsid w:val="001664A2"/>
    <w:rsid w:val="00170521"/>
    <w:rsid w:val="0018700C"/>
    <w:rsid w:val="001943C2"/>
    <w:rsid w:val="001A676E"/>
    <w:rsid w:val="001B4848"/>
    <w:rsid w:val="001E57DA"/>
    <w:rsid w:val="001E73BA"/>
    <w:rsid w:val="001F447A"/>
    <w:rsid w:val="001F7399"/>
    <w:rsid w:val="00212319"/>
    <w:rsid w:val="00215E90"/>
    <w:rsid w:val="00217127"/>
    <w:rsid w:val="00225BE3"/>
    <w:rsid w:val="00274E0A"/>
    <w:rsid w:val="002B6153"/>
    <w:rsid w:val="002C627C"/>
    <w:rsid w:val="00307586"/>
    <w:rsid w:val="00335F42"/>
    <w:rsid w:val="00336906"/>
    <w:rsid w:val="00337EE7"/>
    <w:rsid w:val="00345333"/>
    <w:rsid w:val="00346084"/>
    <w:rsid w:val="00393E05"/>
    <w:rsid w:val="003A06C6"/>
    <w:rsid w:val="003E36B1"/>
    <w:rsid w:val="003E4162"/>
    <w:rsid w:val="003F7CBD"/>
    <w:rsid w:val="00405792"/>
    <w:rsid w:val="0040600B"/>
    <w:rsid w:val="00410C47"/>
    <w:rsid w:val="00455DA6"/>
    <w:rsid w:val="004573A8"/>
    <w:rsid w:val="004579D9"/>
    <w:rsid w:val="00481CF8"/>
    <w:rsid w:val="00492C2D"/>
    <w:rsid w:val="004A3D87"/>
    <w:rsid w:val="004B18A9"/>
    <w:rsid w:val="004B55F7"/>
    <w:rsid w:val="004D4F8C"/>
    <w:rsid w:val="004D6B86"/>
    <w:rsid w:val="0050496F"/>
    <w:rsid w:val="00504F88"/>
    <w:rsid w:val="0055242C"/>
    <w:rsid w:val="00583659"/>
    <w:rsid w:val="00595412"/>
    <w:rsid w:val="005A3341"/>
    <w:rsid w:val="005B40D2"/>
    <w:rsid w:val="005C354D"/>
    <w:rsid w:val="005E4055"/>
    <w:rsid w:val="005F3714"/>
    <w:rsid w:val="00607DB9"/>
    <w:rsid w:val="00614FE4"/>
    <w:rsid w:val="0061747E"/>
    <w:rsid w:val="0063508F"/>
    <w:rsid w:val="00641876"/>
    <w:rsid w:val="00645290"/>
    <w:rsid w:val="00661898"/>
    <w:rsid w:val="00662044"/>
    <w:rsid w:val="00676C5D"/>
    <w:rsid w:val="00684C26"/>
    <w:rsid w:val="006B015B"/>
    <w:rsid w:val="006C162F"/>
    <w:rsid w:val="006C2E4D"/>
    <w:rsid w:val="006D7EE9"/>
    <w:rsid w:val="006E21AC"/>
    <w:rsid w:val="00720FFE"/>
    <w:rsid w:val="007235F0"/>
    <w:rsid w:val="007244DE"/>
    <w:rsid w:val="00725DD2"/>
    <w:rsid w:val="00737FE2"/>
    <w:rsid w:val="00753931"/>
    <w:rsid w:val="00766DA1"/>
    <w:rsid w:val="007B2A43"/>
    <w:rsid w:val="007C5E61"/>
    <w:rsid w:val="00811D05"/>
    <w:rsid w:val="0081390C"/>
    <w:rsid w:val="00814A8F"/>
    <w:rsid w:val="00816831"/>
    <w:rsid w:val="00837C17"/>
    <w:rsid w:val="00837D67"/>
    <w:rsid w:val="00852A03"/>
    <w:rsid w:val="0086477C"/>
    <w:rsid w:val="008747E8"/>
    <w:rsid w:val="008A2A83"/>
    <w:rsid w:val="008A78F1"/>
    <w:rsid w:val="008D1BAC"/>
    <w:rsid w:val="008E0335"/>
    <w:rsid w:val="00901D97"/>
    <w:rsid w:val="00910F0E"/>
    <w:rsid w:val="00914555"/>
    <w:rsid w:val="00942C9B"/>
    <w:rsid w:val="00943665"/>
    <w:rsid w:val="00951299"/>
    <w:rsid w:val="00961AE5"/>
    <w:rsid w:val="00970D64"/>
    <w:rsid w:val="00975CFA"/>
    <w:rsid w:val="009A2C38"/>
    <w:rsid w:val="009F0414"/>
    <w:rsid w:val="009F35ED"/>
    <w:rsid w:val="00A1515C"/>
    <w:rsid w:val="00A4757D"/>
    <w:rsid w:val="00A615E0"/>
    <w:rsid w:val="00A652AC"/>
    <w:rsid w:val="00A77F6B"/>
    <w:rsid w:val="00A81BB2"/>
    <w:rsid w:val="00A8458D"/>
    <w:rsid w:val="00AA5C05"/>
    <w:rsid w:val="00AE4725"/>
    <w:rsid w:val="00AF0CD4"/>
    <w:rsid w:val="00B03BA4"/>
    <w:rsid w:val="00B266E2"/>
    <w:rsid w:val="00B36D6B"/>
    <w:rsid w:val="00B42338"/>
    <w:rsid w:val="00B723CF"/>
    <w:rsid w:val="00B84A11"/>
    <w:rsid w:val="00BC287E"/>
    <w:rsid w:val="00BD556B"/>
    <w:rsid w:val="00BE09BD"/>
    <w:rsid w:val="00C0096F"/>
    <w:rsid w:val="00C055BF"/>
    <w:rsid w:val="00C17DBC"/>
    <w:rsid w:val="00C3438C"/>
    <w:rsid w:val="00C437CE"/>
    <w:rsid w:val="00C5686B"/>
    <w:rsid w:val="00C74024"/>
    <w:rsid w:val="00C83B15"/>
    <w:rsid w:val="00C925C8"/>
    <w:rsid w:val="00CA1B5E"/>
    <w:rsid w:val="00CB1A2B"/>
    <w:rsid w:val="00CB7F84"/>
    <w:rsid w:val="00CC0699"/>
    <w:rsid w:val="00CF1B55"/>
    <w:rsid w:val="00D3769D"/>
    <w:rsid w:val="00DB2E59"/>
    <w:rsid w:val="00DB358F"/>
    <w:rsid w:val="00DC44F1"/>
    <w:rsid w:val="00DF6D26"/>
    <w:rsid w:val="00E24436"/>
    <w:rsid w:val="00E24F19"/>
    <w:rsid w:val="00E36048"/>
    <w:rsid w:val="00E7305D"/>
    <w:rsid w:val="00E90CAC"/>
    <w:rsid w:val="00E923B0"/>
    <w:rsid w:val="00EA780C"/>
    <w:rsid w:val="00EB69D3"/>
    <w:rsid w:val="00EE04AA"/>
    <w:rsid w:val="00EF516D"/>
    <w:rsid w:val="00F023CB"/>
    <w:rsid w:val="00F31668"/>
    <w:rsid w:val="00F31D66"/>
    <w:rsid w:val="00F36364"/>
    <w:rsid w:val="00F363EC"/>
    <w:rsid w:val="00F413AC"/>
    <w:rsid w:val="00F4369A"/>
    <w:rsid w:val="00F80E1F"/>
    <w:rsid w:val="00FD48D7"/>
    <w:rsid w:val="00FE725C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A963B23-0682-4F29-B0DB-7C5769263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pPr>
      <w:spacing w:line="240" w:lineRule="auto"/>
      <w:ind w:firstLine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left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F3714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theme" Target="theme/theme1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glossaryDocument" Target="glossary/document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fontTable" Target="fontTable.xml" /><Relationship Id="rId5" Type="http://schemas.openxmlformats.org/officeDocument/2006/relationships/settings" Target="settings.xml" /><Relationship Id="rId10" Type="http://schemas.openxmlformats.org/officeDocument/2006/relationships/header" Target="header2.xml" /><Relationship Id="rId4" Type="http://schemas.openxmlformats.org/officeDocument/2006/relationships/styles" Target="styles.xml" /><Relationship Id="rId9" Type="http://schemas.openxmlformats.org/officeDocument/2006/relationships/header" Target="head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PA%20style%20paper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C711A7C64C8484B95317D117EB2D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78540-9A80-459E-AF09-449F1EB2234D}"/>
      </w:docPartPr>
      <w:docPartBody>
        <w:p w:rsidR="00991062" w:rsidRDefault="00991062">
          <w:pPr>
            <w:pStyle w:val="5C711A7C64C8484B95317D117EB2DB3C"/>
          </w:pPr>
          <w:r>
            <w:t>Institutional Affiliation(s)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62"/>
    <w:rsid w:val="004D4528"/>
    <w:rsid w:val="00991062"/>
    <w:rsid w:val="00B567FA"/>
    <w:rsid w:val="00BC1C61"/>
    <w:rsid w:val="00E2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9BEBDDE541F49A9A1C51876D5AAA933">
    <w:name w:val="89BEBDDE541F49A9A1C51876D5AAA933"/>
  </w:style>
  <w:style w:type="paragraph" w:customStyle="1" w:styleId="9BCFF9BD6E3744BC9FB03ABF3184BB8F">
    <w:name w:val="9BCFF9BD6E3744BC9FB03ABF3184BB8F"/>
  </w:style>
  <w:style w:type="paragraph" w:customStyle="1" w:styleId="5C711A7C64C8484B95317D117EB2DB3C">
    <w:name w:val="5C711A7C64C8484B95317D117EB2DB3C"/>
  </w:style>
  <w:style w:type="paragraph" w:customStyle="1" w:styleId="62CF43123F5F43E0884CD83C2076B3A8">
    <w:name w:val="62CF43123F5F43E0884CD83C2076B3A8"/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paragraph" w:customStyle="1" w:styleId="0B0CDFBEFFFC41999C7CEA849FB49E6D">
    <w:name w:val="0B0CDFBEFFFC41999C7CEA849FB49E6D"/>
  </w:style>
  <w:style w:type="paragraph" w:customStyle="1" w:styleId="4EB3824865A340D6BCE341E0E3D37F76">
    <w:name w:val="4EB3824865A340D6BCE341E0E3D37F76"/>
  </w:style>
  <w:style w:type="paragraph" w:customStyle="1" w:styleId="851224039D37439AA34ECC4B7330DC28">
    <w:name w:val="851224039D37439AA34ECC4B7330DC28"/>
  </w:style>
  <w:style w:type="paragraph" w:customStyle="1" w:styleId="55D64560C73C4DC08185FDCA1C848193">
    <w:name w:val="55D64560C73C4DC08185FDCA1C848193"/>
  </w:style>
  <w:style w:type="paragraph" w:customStyle="1" w:styleId="A0DB95C5905240DF8C6EE830AE6EF89B">
    <w:name w:val="A0DB95C5905240DF8C6EE830AE6EF89B"/>
  </w:style>
  <w:style w:type="paragraph" w:customStyle="1" w:styleId="0C702FD200364B298F03DE2EA3909FDD">
    <w:name w:val="0C702FD200364B298F03DE2EA3909FDD"/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paragraph" w:customStyle="1" w:styleId="8CBEEC1CA8B34D9FA087586B6E356575">
    <w:name w:val="8CBEEC1CA8B34D9FA087586B6E356575"/>
  </w:style>
  <w:style w:type="paragraph" w:customStyle="1" w:styleId="4CDD75CC4DC7416A95E8517DF5D18E50">
    <w:name w:val="4CDD75CC4DC7416A95E8517DF5D18E50"/>
  </w:style>
  <w:style w:type="character" w:customStyle="1" w:styleId="Heading3Char">
    <w:name w:val="Heading 3 Char"/>
    <w:basedOn w:val="DefaultParagraphFont"/>
    <w:link w:val="Heading3"/>
    <w:uiPriority w:val="5"/>
    <w:rPr>
      <w:rFonts w:asciiTheme="majorHAnsi" w:eastAsiaTheme="majorEastAsia" w:hAnsiTheme="majorHAnsi" w:cstheme="majorBidi"/>
      <w:b/>
      <w:bCs/>
      <w:color w:val="000000" w:themeColor="text1"/>
      <w:sz w:val="24"/>
      <w:szCs w:val="24"/>
      <w:lang w:eastAsia="ja-JP"/>
    </w:rPr>
  </w:style>
  <w:style w:type="paragraph" w:customStyle="1" w:styleId="13789EB8D49A4CD78769FA15BBB18228">
    <w:name w:val="13789EB8D49A4CD78769FA15BBB18228"/>
  </w:style>
  <w:style w:type="paragraph" w:customStyle="1" w:styleId="9073E942F8174ACAABC32D4D30C510C3">
    <w:name w:val="9073E942F8174ACAABC32D4D30C510C3"/>
  </w:style>
  <w:style w:type="character" w:customStyle="1" w:styleId="Heading4Char">
    <w:name w:val="Heading 4 Char"/>
    <w:basedOn w:val="DefaultParagraphFont"/>
    <w:link w:val="Heading4"/>
    <w:uiPriority w:val="5"/>
    <w:rPr>
      <w:rFonts w:asciiTheme="majorHAnsi" w:eastAsiaTheme="majorEastAsia" w:hAnsiTheme="majorHAnsi" w:cstheme="majorBidi"/>
      <w:b/>
      <w:bCs/>
      <w:i/>
      <w:iCs/>
      <w:color w:val="000000" w:themeColor="text1"/>
      <w:sz w:val="24"/>
      <w:szCs w:val="24"/>
      <w:lang w:eastAsia="ja-JP"/>
    </w:rPr>
  </w:style>
  <w:style w:type="paragraph" w:customStyle="1" w:styleId="70515535460546EDA14C65E305837715">
    <w:name w:val="70515535460546EDA14C65E305837715"/>
  </w:style>
  <w:style w:type="paragraph" w:customStyle="1" w:styleId="4B66ABF764DB4DB7AD60833714D41D12">
    <w:name w:val="4B66ABF764DB4DB7AD60833714D41D12"/>
  </w:style>
  <w:style w:type="character" w:customStyle="1" w:styleId="Heading5Char">
    <w:name w:val="Heading 5 Char"/>
    <w:basedOn w:val="DefaultParagraphFont"/>
    <w:link w:val="Heading5"/>
    <w:uiPriority w:val="5"/>
    <w:rPr>
      <w:rFonts w:asciiTheme="majorHAnsi" w:eastAsiaTheme="majorEastAsia" w:hAnsiTheme="majorHAnsi" w:cstheme="majorBidi"/>
      <w:i/>
      <w:iCs/>
      <w:color w:val="000000" w:themeColor="text1"/>
      <w:sz w:val="24"/>
      <w:szCs w:val="24"/>
      <w:lang w:eastAsia="ja-JP"/>
    </w:rPr>
  </w:style>
  <w:style w:type="paragraph" w:customStyle="1" w:styleId="5E0A1B0748EC45CBA9714EED69723654">
    <w:name w:val="5E0A1B0748EC45CBA9714EED69723654"/>
  </w:style>
  <w:style w:type="paragraph" w:customStyle="1" w:styleId="7021437C738B410496244BE25FDA3F6E">
    <w:name w:val="7021437C738B410496244BE25FDA3F6E"/>
  </w:style>
  <w:style w:type="paragraph" w:customStyle="1" w:styleId="F0AFB29370694CD6923F88472CF08480">
    <w:name w:val="F0AFB29370694CD6923F88472CF08480"/>
  </w:style>
  <w:style w:type="paragraph" w:customStyle="1" w:styleId="3A4B54D81A37486E944F97079399F0EB">
    <w:name w:val="3A4B54D81A37486E944F97079399F0EB"/>
  </w:style>
  <w:style w:type="paragraph" w:customStyle="1" w:styleId="13BF493450154CDFAAE34BADC0E9D0FF">
    <w:name w:val="13BF493450154CDFAAE34BADC0E9D0FF"/>
  </w:style>
  <w:style w:type="paragraph" w:customStyle="1" w:styleId="7C19FE4A5EA74E66A84234EE8C520337">
    <w:name w:val="7C19FE4A5EA74E66A84234EE8C520337"/>
  </w:style>
  <w:style w:type="paragraph" w:customStyle="1" w:styleId="83AED24A992847AF81700E73CB187482">
    <w:name w:val="83AED24A992847AF81700E73CB187482"/>
  </w:style>
  <w:style w:type="paragraph" w:customStyle="1" w:styleId="03C94344423F443F89173A8BA7855B8B">
    <w:name w:val="03C94344423F443F89173A8BA7855B8B"/>
  </w:style>
  <w:style w:type="paragraph" w:customStyle="1" w:styleId="FC91421F652C40FEB86C98268BE760B7">
    <w:name w:val="FC91421F652C40FEB86C98268BE760B7"/>
  </w:style>
  <w:style w:type="paragraph" w:customStyle="1" w:styleId="54D381B3027444859C8526E8B35B02C3">
    <w:name w:val="54D381B3027444859C8526E8B35B02C3"/>
  </w:style>
  <w:style w:type="paragraph" w:customStyle="1" w:styleId="208122C606B94AACB09D92411C3D2485">
    <w:name w:val="208122C606B94AACB09D92411C3D2485"/>
  </w:style>
  <w:style w:type="paragraph" w:customStyle="1" w:styleId="754D29C6473F48AE9B7AB03BF209AC64">
    <w:name w:val="754D29C6473F48AE9B7AB03BF209AC64"/>
  </w:style>
  <w:style w:type="paragraph" w:customStyle="1" w:styleId="145681435C814E03BFDA067DC00B0437">
    <w:name w:val="145681435C814E03BFDA067DC00B0437"/>
  </w:style>
  <w:style w:type="paragraph" w:customStyle="1" w:styleId="24321A4691C745C4A9A2A78D73A80E15">
    <w:name w:val="24321A4691C745C4A9A2A78D73A80E15"/>
  </w:style>
  <w:style w:type="paragraph" w:customStyle="1" w:styleId="0D06B73C20E34547A1B31D889EDD5A1A">
    <w:name w:val="0D06B73C20E34547A1B31D889EDD5A1A"/>
  </w:style>
  <w:style w:type="paragraph" w:customStyle="1" w:styleId="4C5946A45421403BA2A30204A8D9C191">
    <w:name w:val="4C5946A45421403BA2A30204A8D9C191"/>
  </w:style>
  <w:style w:type="paragraph" w:customStyle="1" w:styleId="D65C612B4184420488522F2E79141AAD">
    <w:name w:val="D65C612B4184420488522F2E79141AAD"/>
  </w:style>
  <w:style w:type="paragraph" w:customStyle="1" w:styleId="569F0FD4DCFF4AE58E71DFE5640EF1B9">
    <w:name w:val="569F0FD4DCFF4AE58E71DFE5640EF1B9"/>
  </w:style>
  <w:style w:type="paragraph" w:customStyle="1" w:styleId="611FCD59B6FA49EF86873F13F622063C">
    <w:name w:val="611FCD59B6FA49EF86873F13F622063C"/>
  </w:style>
  <w:style w:type="paragraph" w:customStyle="1" w:styleId="AE34627765DE48F5A5DB9177EAF4768C">
    <w:name w:val="AE34627765DE48F5A5DB9177EAF4768C"/>
  </w:style>
  <w:style w:type="paragraph" w:customStyle="1" w:styleId="96526751931A4FE5A27C6CF349915413">
    <w:name w:val="96526751931A4FE5A27C6CF349915413"/>
  </w:style>
  <w:style w:type="paragraph" w:customStyle="1" w:styleId="B63D5EED99EA4234AA5D6DA3C31E3838">
    <w:name w:val="B63D5EED99EA4234AA5D6DA3C31E3838"/>
  </w:style>
  <w:style w:type="paragraph" w:customStyle="1" w:styleId="06B4718C848746DCB69A91F98346421C">
    <w:name w:val="06B4718C848746DCB69A91F98346421C"/>
  </w:style>
  <w:style w:type="paragraph" w:customStyle="1" w:styleId="9CD53471376C491E94ABBF1B394A5D86">
    <w:name w:val="9CD53471376C491E94ABBF1B394A5D86"/>
  </w:style>
  <w:style w:type="paragraph" w:customStyle="1" w:styleId="CB2B3720497043A380EE4A251001FB20">
    <w:name w:val="CB2B3720497043A380EE4A251001FB20"/>
  </w:style>
  <w:style w:type="paragraph" w:customStyle="1" w:styleId="D37BDFF74148440B95586B893F1C0DBF">
    <w:name w:val="D37BDFF74148440B95586B893F1C0DBF"/>
  </w:style>
  <w:style w:type="paragraph" w:customStyle="1" w:styleId="69A49E4E93244C539B5A76F222AEFA50">
    <w:name w:val="69A49E4E93244C539B5A76F222AEFA50"/>
  </w:style>
  <w:style w:type="paragraph" w:customStyle="1" w:styleId="A800F4B67E0D4CE09D382B04BAEB53E6">
    <w:name w:val="A800F4B67E0D4CE09D382B04BAEB53E6"/>
  </w:style>
  <w:style w:type="paragraph" w:customStyle="1" w:styleId="057C9D1AA5124DE6BDADC4BCB8CADE0C">
    <w:name w:val="057C9D1AA5124DE6BDADC4BCB8CADE0C"/>
  </w:style>
  <w:style w:type="paragraph" w:customStyle="1" w:styleId="0C421ACD638A498CAFC0B70398897AB4">
    <w:name w:val="0C421ACD638A498CAFC0B70398897AB4"/>
  </w:style>
  <w:style w:type="paragraph" w:customStyle="1" w:styleId="8DAA7735211A4CBB880F09A036C467F6">
    <w:name w:val="8DAA7735211A4CBB880F09A036C467F6"/>
  </w:style>
  <w:style w:type="paragraph" w:customStyle="1" w:styleId="8FA2931F381C4E228ED075176DEA72C6">
    <w:name w:val="8FA2931F381C4E228ED075176DEA72C6"/>
  </w:style>
  <w:style w:type="paragraph" w:customStyle="1" w:styleId="0A796704D1814DD5B18FB4EC5794C00C">
    <w:name w:val="0A796704D1814DD5B18FB4EC5794C00C"/>
  </w:style>
  <w:style w:type="paragraph" w:customStyle="1" w:styleId="FC766625683947A1B1361E7E03E6A37F">
    <w:name w:val="FC766625683947A1B1361E7E03E6A37F"/>
  </w:style>
  <w:style w:type="paragraph" w:customStyle="1" w:styleId="272F9F661F2F40CB91003A5D84326B9A">
    <w:name w:val="272F9F661F2F40CB91003A5D84326B9A"/>
  </w:style>
  <w:style w:type="paragraph" w:customStyle="1" w:styleId="46B82CB1386E41E49FFEB7111B7697D4">
    <w:name w:val="46B82CB1386E41E49FFEB7111B7697D4"/>
  </w:style>
  <w:style w:type="paragraph" w:customStyle="1" w:styleId="41E23B508A634F5D9879E354E9F63EC9">
    <w:name w:val="41E23B508A634F5D9879E354E9F63EC9"/>
  </w:style>
  <w:style w:type="paragraph" w:customStyle="1" w:styleId="A77CAA31D34B432881CB1F8DFCBADEC5">
    <w:name w:val="A77CAA31D34B432881CB1F8DFCBADEC5"/>
  </w:style>
  <w:style w:type="paragraph" w:customStyle="1" w:styleId="67B83EB766A644CB8E8E82793140E42F">
    <w:name w:val="67B83EB766A644CB8E8E82793140E42F"/>
  </w:style>
  <w:style w:type="paragraph" w:customStyle="1" w:styleId="5389853425784D0D95A79135FDD74D24">
    <w:name w:val="5389853425784D0D95A79135FDD74D24"/>
  </w:style>
  <w:style w:type="paragraph" w:customStyle="1" w:styleId="33CCA60201C3415CB45FACB5AE894062">
    <w:name w:val="33CCA60201C3415CB45FACB5AE894062"/>
  </w:style>
  <w:style w:type="paragraph" w:customStyle="1" w:styleId="A7BEDB2CE17345A0B93D8507232C32AF">
    <w:name w:val="A7BEDB2CE17345A0B93D8507232C32AF"/>
  </w:style>
  <w:style w:type="paragraph" w:customStyle="1" w:styleId="FA23002F6E0649479EE4803743EB3507">
    <w:name w:val="FA23002F6E0649479EE4803743EB3507"/>
  </w:style>
  <w:style w:type="paragraph" w:customStyle="1" w:styleId="8937480915304174BC7C95A0371E88A8">
    <w:name w:val="8937480915304174BC7C95A0371E88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w:rsidRDefault="009C4970"/&gt;&lt;w:sectPr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Props1.xml><?xml version="1.0" encoding="utf-8"?>
<ds:datastoreItem xmlns:ds="http://schemas.openxmlformats.org/officeDocument/2006/customXml" ds:itemID="{9AA97EBE-6417-447B-9032-73982F6245A4}">
  <ds:schemaRefs>
    <ds:schemaRef ds:uri="http://schemas.openxmlformats.org/officeDocument/2006/bibliography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APA%20style%20paper.dotx</Template>
  <TotalTime>0</TotalTime>
  <Pages>4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254716226303</cp:lastModifiedBy>
  <cp:revision>2</cp:revision>
  <cp:lastPrinted>2020-07-17T18:57:00Z</cp:lastPrinted>
  <dcterms:created xsi:type="dcterms:W3CDTF">2020-08-01T07:28:00Z</dcterms:created>
  <dcterms:modified xsi:type="dcterms:W3CDTF">2020-08-01T07:28:00Z</dcterms:modified>
</cp:coreProperties>
</file>