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A42" w:rsidRPr="00510A42" w:rsidRDefault="00510A42" w:rsidP="00510A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10A42" w:rsidRPr="00510A42" w:rsidRDefault="00510A42" w:rsidP="00510A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10A42" w:rsidRPr="00510A42" w:rsidRDefault="00510A42" w:rsidP="00510A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10A42" w:rsidRPr="00510A42" w:rsidRDefault="00510A42" w:rsidP="00510A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10A42" w:rsidRPr="00510A42" w:rsidRDefault="00510A42" w:rsidP="00510A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10A42" w:rsidRPr="00510A42" w:rsidRDefault="00510A42" w:rsidP="00510A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0A42">
        <w:rPr>
          <w:rFonts w:ascii="Times New Roman" w:hAnsi="Times New Roman" w:cs="Times New Roman"/>
          <w:sz w:val="24"/>
          <w:szCs w:val="24"/>
        </w:rPr>
        <w:t>Mondragon Corporation S.W.O.T. Analysis</w:t>
      </w:r>
    </w:p>
    <w:p w:rsidR="00510A42" w:rsidRPr="00510A42" w:rsidRDefault="00510A42" w:rsidP="00510A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0A42">
        <w:rPr>
          <w:rFonts w:ascii="Times New Roman" w:hAnsi="Times New Roman" w:cs="Times New Roman"/>
          <w:sz w:val="24"/>
          <w:szCs w:val="24"/>
        </w:rPr>
        <w:t>Name of Student</w:t>
      </w:r>
    </w:p>
    <w:p w:rsidR="00510A42" w:rsidRPr="00510A42" w:rsidRDefault="00510A42" w:rsidP="00510A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0A42">
        <w:rPr>
          <w:rFonts w:ascii="Times New Roman" w:hAnsi="Times New Roman" w:cs="Times New Roman"/>
          <w:sz w:val="24"/>
          <w:szCs w:val="24"/>
        </w:rPr>
        <w:t>Name of Institution</w:t>
      </w:r>
    </w:p>
    <w:p w:rsidR="00510A42" w:rsidRPr="00510A42" w:rsidRDefault="00510A42" w:rsidP="00510A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0A42">
        <w:rPr>
          <w:rFonts w:ascii="Times New Roman" w:hAnsi="Times New Roman" w:cs="Times New Roman"/>
          <w:sz w:val="24"/>
          <w:szCs w:val="24"/>
        </w:rPr>
        <w:t xml:space="preserve">Date </w:t>
      </w:r>
      <w:r w:rsidRPr="00510A42">
        <w:rPr>
          <w:rFonts w:ascii="Times New Roman" w:hAnsi="Times New Roman" w:cs="Times New Roman"/>
          <w:sz w:val="24"/>
          <w:szCs w:val="24"/>
        </w:rPr>
        <w:br w:type="page"/>
      </w:r>
    </w:p>
    <w:p w:rsidR="00000000" w:rsidRPr="00510A42" w:rsidRDefault="00D8571D" w:rsidP="00510A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0A42">
        <w:rPr>
          <w:rFonts w:ascii="Times New Roman" w:hAnsi="Times New Roman" w:cs="Times New Roman"/>
          <w:sz w:val="24"/>
          <w:szCs w:val="24"/>
        </w:rPr>
        <w:lastRenderedPageBreak/>
        <w:t>Strengths</w:t>
      </w:r>
    </w:p>
    <w:p w:rsidR="00D8571D" w:rsidRPr="00510A42" w:rsidRDefault="00D8571D" w:rsidP="00510A4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0A42">
        <w:rPr>
          <w:rFonts w:ascii="Times New Roman" w:hAnsi="Times New Roman" w:cs="Times New Roman"/>
          <w:sz w:val="24"/>
          <w:szCs w:val="24"/>
        </w:rPr>
        <w:t>Mondragon corporation promotes the placement of equity in laborers as opposed to shareholders</w:t>
      </w:r>
    </w:p>
    <w:p w:rsidR="0061171E" w:rsidRPr="00510A42" w:rsidRDefault="006A5D42" w:rsidP="00510A4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0A42">
        <w:rPr>
          <w:rFonts w:ascii="Times New Roman" w:hAnsi="Times New Roman" w:cs="Times New Roman"/>
          <w:sz w:val="24"/>
          <w:szCs w:val="24"/>
        </w:rPr>
        <w:t>The corporation is the most successful example of employee-owned cooperative enterprise globally</w:t>
      </w:r>
    </w:p>
    <w:p w:rsidR="00EE61D3" w:rsidRPr="00510A42" w:rsidRDefault="00EE61D3" w:rsidP="00510A4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0A42">
        <w:rPr>
          <w:rFonts w:ascii="Times New Roman" w:hAnsi="Times New Roman" w:cs="Times New Roman"/>
          <w:sz w:val="24"/>
          <w:szCs w:val="24"/>
        </w:rPr>
        <w:t>The principles for the corporation promote and facilitate employee ownership rights and ownership responsibilities</w:t>
      </w:r>
      <w:r w:rsidR="00510A42" w:rsidRPr="00510A42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826917569"/>
          <w:citation/>
        </w:sdtPr>
        <w:sdtContent>
          <w:r w:rsidR="00510A42" w:rsidRPr="00510A42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510A42" w:rsidRPr="00510A42">
            <w:rPr>
              <w:rFonts w:ascii="Times New Roman" w:hAnsi="Times New Roman" w:cs="Times New Roman"/>
              <w:sz w:val="24"/>
              <w:szCs w:val="24"/>
            </w:rPr>
            <w:instrText xml:space="preserve"> CITATION Laf12 \l 1033 </w:instrText>
          </w:r>
          <w:r w:rsidR="00510A42" w:rsidRPr="00510A42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510A42" w:rsidRPr="00510A42">
            <w:rPr>
              <w:rFonts w:ascii="Times New Roman" w:hAnsi="Times New Roman" w:cs="Times New Roman"/>
              <w:noProof/>
              <w:sz w:val="24"/>
              <w:szCs w:val="24"/>
            </w:rPr>
            <w:t>(Lafuente, 2012)</w:t>
          </w:r>
          <w:r w:rsidR="00510A42" w:rsidRPr="00510A42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</w:p>
    <w:p w:rsidR="006A5D42" w:rsidRPr="00510A42" w:rsidRDefault="003D2D78" w:rsidP="00510A4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0A42">
        <w:rPr>
          <w:rFonts w:ascii="Times New Roman" w:hAnsi="Times New Roman" w:cs="Times New Roman"/>
          <w:sz w:val="24"/>
          <w:szCs w:val="24"/>
        </w:rPr>
        <w:t>The corporation comprises of 258 organizations which gives then crucial competitive and social advantages</w:t>
      </w:r>
      <w:r w:rsidR="001E0F49" w:rsidRPr="00510A42">
        <w:rPr>
          <w:rFonts w:ascii="Times New Roman" w:hAnsi="Times New Roman" w:cs="Times New Roman"/>
          <w:sz w:val="24"/>
          <w:szCs w:val="24"/>
        </w:rPr>
        <w:t xml:space="preserve">, with network channels within and among all the businesses under its umbrella </w:t>
      </w:r>
    </w:p>
    <w:p w:rsidR="001E0F49" w:rsidRPr="00510A42" w:rsidRDefault="001E0F49" w:rsidP="00510A4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0A42">
        <w:rPr>
          <w:rFonts w:ascii="Times New Roman" w:hAnsi="Times New Roman" w:cs="Times New Roman"/>
          <w:sz w:val="24"/>
          <w:szCs w:val="24"/>
        </w:rPr>
        <w:t xml:space="preserve">The networks allows for businesses involved to reap with opportunities and synergies during upturns, and support during downtowns. </w:t>
      </w:r>
    </w:p>
    <w:p w:rsidR="003D2D78" w:rsidRPr="00510A42" w:rsidRDefault="003D2D78" w:rsidP="00510A4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0A42">
        <w:rPr>
          <w:rFonts w:ascii="Times New Roman" w:hAnsi="Times New Roman" w:cs="Times New Roman"/>
          <w:sz w:val="24"/>
          <w:szCs w:val="24"/>
        </w:rPr>
        <w:t>Mondragon Corporation is vast having a structure that allows it to engage in four industries; Knowledge, retail, finance, and the industrial sector</w:t>
      </w:r>
    </w:p>
    <w:p w:rsidR="00152FEF" w:rsidRPr="00510A42" w:rsidRDefault="00152FEF" w:rsidP="00510A4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0A42">
        <w:rPr>
          <w:rFonts w:ascii="Times New Roman" w:hAnsi="Times New Roman" w:cs="Times New Roman"/>
          <w:sz w:val="24"/>
          <w:szCs w:val="24"/>
        </w:rPr>
        <w:t>Community initiatives aid in gathering local support</w:t>
      </w:r>
      <w:r w:rsidR="00510A42" w:rsidRPr="00510A42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826917568"/>
          <w:citation/>
        </w:sdtPr>
        <w:sdtContent>
          <w:r w:rsidR="00510A42" w:rsidRPr="00510A42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510A42" w:rsidRPr="00510A42">
            <w:rPr>
              <w:rFonts w:ascii="Times New Roman" w:hAnsi="Times New Roman" w:cs="Times New Roman"/>
              <w:sz w:val="24"/>
              <w:szCs w:val="24"/>
            </w:rPr>
            <w:instrText xml:space="preserve"> CITATION Lez13 \l 1033 </w:instrText>
          </w:r>
          <w:r w:rsidR="00510A42" w:rsidRPr="00510A42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510A42" w:rsidRPr="00510A42">
            <w:rPr>
              <w:rFonts w:ascii="Times New Roman" w:hAnsi="Times New Roman" w:cs="Times New Roman"/>
              <w:noProof/>
              <w:sz w:val="24"/>
              <w:szCs w:val="24"/>
            </w:rPr>
            <w:t>(Lezamiz, 2013)</w:t>
          </w:r>
          <w:r w:rsidR="00510A42" w:rsidRPr="00510A42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</w:p>
    <w:p w:rsidR="003D2D78" w:rsidRPr="00510A42" w:rsidRDefault="003D2D78" w:rsidP="00510A4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0A42">
        <w:rPr>
          <w:rFonts w:ascii="Times New Roman" w:hAnsi="Times New Roman" w:cs="Times New Roman"/>
          <w:sz w:val="24"/>
          <w:szCs w:val="24"/>
        </w:rPr>
        <w:t xml:space="preserve">The core drive of the corporation comes from a philosophical history and religious inspiration from Father </w:t>
      </w:r>
      <w:r w:rsidRPr="00510A42">
        <w:rPr>
          <w:rFonts w:ascii="Times New Roman" w:hAnsi="Times New Roman" w:cs="Times New Roman"/>
          <w:sz w:val="24"/>
          <w:szCs w:val="24"/>
          <w:shd w:val="clear" w:color="auto" w:fill="FFFFFF"/>
        </w:rPr>
        <w:t>José María Arizmendiarrieta</w:t>
      </w:r>
    </w:p>
    <w:p w:rsidR="003D2D78" w:rsidRPr="00510A42" w:rsidRDefault="003D2D78" w:rsidP="00510A4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0A42">
        <w:rPr>
          <w:rFonts w:ascii="Times New Roman" w:hAnsi="Times New Roman" w:cs="Times New Roman"/>
          <w:sz w:val="24"/>
          <w:szCs w:val="24"/>
        </w:rPr>
        <w:t xml:space="preserve">The philosophies borrowed from Father </w:t>
      </w:r>
      <w:r w:rsidRPr="00510A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Arizmendiarrieta </w:t>
      </w:r>
      <w:r w:rsidRPr="00510A42">
        <w:rPr>
          <w:rFonts w:ascii="Times New Roman" w:hAnsi="Times New Roman" w:cs="Times New Roman"/>
          <w:sz w:val="24"/>
          <w:szCs w:val="24"/>
        </w:rPr>
        <w:t>for the corporation are both ethical religious and also concrete and pragmatic</w:t>
      </w:r>
    </w:p>
    <w:p w:rsidR="003D2D78" w:rsidRPr="00510A42" w:rsidRDefault="00EE61D3" w:rsidP="00510A4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0A42">
        <w:rPr>
          <w:rFonts w:ascii="Times New Roman" w:hAnsi="Times New Roman" w:cs="Times New Roman"/>
          <w:sz w:val="24"/>
          <w:szCs w:val="24"/>
        </w:rPr>
        <w:t>The corporation boasts of a rich historical background and influence in the community since its conception</w:t>
      </w:r>
    </w:p>
    <w:p w:rsidR="00EE61D3" w:rsidRPr="00510A42" w:rsidRDefault="00F61F25" w:rsidP="00510A4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0A42">
        <w:rPr>
          <w:rFonts w:ascii="Times New Roman" w:hAnsi="Times New Roman" w:cs="Times New Roman"/>
          <w:sz w:val="24"/>
          <w:szCs w:val="24"/>
        </w:rPr>
        <w:t>The Mondragon Corporation boasts of good quality, good pricing, and also good services for its businesses</w:t>
      </w:r>
      <w:r w:rsidR="00510A42" w:rsidRPr="00510A42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826917567"/>
          <w:citation/>
        </w:sdtPr>
        <w:sdtContent>
          <w:r w:rsidR="00510A42" w:rsidRPr="00510A42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510A42" w:rsidRPr="00510A42">
            <w:rPr>
              <w:rFonts w:ascii="Times New Roman" w:hAnsi="Times New Roman" w:cs="Times New Roman"/>
              <w:sz w:val="24"/>
              <w:szCs w:val="24"/>
            </w:rPr>
            <w:instrText xml:space="preserve"> CITATION Qui161 \l 1033 </w:instrText>
          </w:r>
          <w:r w:rsidR="00510A42" w:rsidRPr="00510A42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510A42" w:rsidRPr="00510A42">
            <w:rPr>
              <w:rFonts w:ascii="Times New Roman" w:hAnsi="Times New Roman" w:cs="Times New Roman"/>
              <w:noProof/>
              <w:sz w:val="24"/>
              <w:szCs w:val="24"/>
            </w:rPr>
            <w:t>(Quine, 2016)</w:t>
          </w:r>
          <w:r w:rsidR="00510A42" w:rsidRPr="00510A42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</w:p>
    <w:p w:rsidR="00F61F25" w:rsidRPr="00510A42" w:rsidRDefault="00152FEF" w:rsidP="00510A4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0A42">
        <w:rPr>
          <w:rFonts w:ascii="Times New Roman" w:hAnsi="Times New Roman" w:cs="Times New Roman"/>
          <w:sz w:val="24"/>
          <w:szCs w:val="24"/>
        </w:rPr>
        <w:lastRenderedPageBreak/>
        <w:t>Among the core values of the corporation, innovation is a significant one with evidence from 14 research and development centers and 716 patents recognized globally</w:t>
      </w:r>
    </w:p>
    <w:p w:rsidR="00152FEF" w:rsidRPr="00510A42" w:rsidRDefault="00152FEF" w:rsidP="00510A4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8571D" w:rsidRPr="00510A42" w:rsidRDefault="00D8571D" w:rsidP="00510A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0A42">
        <w:rPr>
          <w:rFonts w:ascii="Times New Roman" w:hAnsi="Times New Roman" w:cs="Times New Roman"/>
          <w:sz w:val="24"/>
          <w:szCs w:val="24"/>
        </w:rPr>
        <w:t>Weaknesses</w:t>
      </w:r>
    </w:p>
    <w:p w:rsidR="00D8571D" w:rsidRPr="00510A42" w:rsidRDefault="001E0F49" w:rsidP="00510A4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0A42">
        <w:rPr>
          <w:rFonts w:ascii="Times New Roman" w:hAnsi="Times New Roman" w:cs="Times New Roman"/>
          <w:sz w:val="24"/>
          <w:szCs w:val="24"/>
        </w:rPr>
        <w:t>The original idea for the Mondragon Corporation alienated conventional businesses in operation</w:t>
      </w:r>
    </w:p>
    <w:p w:rsidR="00152FEF" w:rsidRPr="00510A42" w:rsidRDefault="000725A2" w:rsidP="00510A4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0A42">
        <w:rPr>
          <w:rFonts w:ascii="Times New Roman" w:hAnsi="Times New Roman" w:cs="Times New Roman"/>
          <w:sz w:val="24"/>
          <w:szCs w:val="24"/>
        </w:rPr>
        <w:t>The corporation is not expansive enough to accommodate additional owners out of the Basque Country</w:t>
      </w:r>
    </w:p>
    <w:p w:rsidR="000725A2" w:rsidRPr="00510A42" w:rsidRDefault="000725A2" w:rsidP="00510A4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0A42">
        <w:rPr>
          <w:rFonts w:ascii="Times New Roman" w:hAnsi="Times New Roman" w:cs="Times New Roman"/>
          <w:sz w:val="24"/>
          <w:szCs w:val="24"/>
        </w:rPr>
        <w:t>The solidarity that links the corporation emanates from historical periods of war and dictatorship, all of which are in the past</w:t>
      </w:r>
      <w:r w:rsidR="00510A42" w:rsidRPr="00510A42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826917565"/>
          <w:citation/>
        </w:sdtPr>
        <w:sdtContent>
          <w:r w:rsidR="00510A42" w:rsidRPr="00510A42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510A42" w:rsidRPr="00510A42">
            <w:rPr>
              <w:rFonts w:ascii="Times New Roman" w:hAnsi="Times New Roman" w:cs="Times New Roman"/>
              <w:sz w:val="24"/>
              <w:szCs w:val="24"/>
            </w:rPr>
            <w:instrText xml:space="preserve"> CITATION Lez13 \l 1033 </w:instrText>
          </w:r>
          <w:r w:rsidR="00510A42" w:rsidRPr="00510A42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510A42" w:rsidRPr="00510A42">
            <w:rPr>
              <w:rFonts w:ascii="Times New Roman" w:hAnsi="Times New Roman" w:cs="Times New Roman"/>
              <w:noProof/>
              <w:sz w:val="24"/>
              <w:szCs w:val="24"/>
            </w:rPr>
            <w:t>(Lezamiz, 2013)</w:t>
          </w:r>
          <w:r w:rsidR="00510A42" w:rsidRPr="00510A42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</w:p>
    <w:p w:rsidR="000725A2" w:rsidRPr="00510A42" w:rsidRDefault="000725A2" w:rsidP="00510A4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0A42">
        <w:rPr>
          <w:rFonts w:ascii="Times New Roman" w:hAnsi="Times New Roman" w:cs="Times New Roman"/>
          <w:sz w:val="24"/>
          <w:szCs w:val="24"/>
        </w:rPr>
        <w:t>Since the employees have an ownership stake in the corporation, they also share in the liquidity and debts</w:t>
      </w:r>
    </w:p>
    <w:p w:rsidR="000725A2" w:rsidRPr="00510A42" w:rsidRDefault="000725A2" w:rsidP="00510A4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0A42">
        <w:rPr>
          <w:rFonts w:ascii="Times New Roman" w:hAnsi="Times New Roman" w:cs="Times New Roman"/>
          <w:sz w:val="24"/>
          <w:szCs w:val="24"/>
        </w:rPr>
        <w:t>The primary market for the corporation is the European market which is highly considered over markets in Spain</w:t>
      </w:r>
    </w:p>
    <w:p w:rsidR="000725A2" w:rsidRPr="00510A42" w:rsidRDefault="000725A2" w:rsidP="00510A4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0A42">
        <w:rPr>
          <w:rFonts w:ascii="Times New Roman" w:hAnsi="Times New Roman" w:cs="Times New Roman"/>
          <w:sz w:val="24"/>
          <w:szCs w:val="24"/>
        </w:rPr>
        <w:t>The Mondragon Corporation has 430 directors, whose congress is annually to project future scenarios and challenges</w:t>
      </w:r>
      <w:r w:rsidR="00510A42" w:rsidRPr="00510A42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826917566"/>
          <w:citation/>
        </w:sdtPr>
        <w:sdtContent>
          <w:r w:rsidR="00510A42" w:rsidRPr="00510A42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510A42" w:rsidRPr="00510A42">
            <w:rPr>
              <w:rFonts w:ascii="Times New Roman" w:hAnsi="Times New Roman" w:cs="Times New Roman"/>
              <w:sz w:val="24"/>
              <w:szCs w:val="24"/>
            </w:rPr>
            <w:instrText xml:space="preserve"> CITATION Qui161 \l 1033 </w:instrText>
          </w:r>
          <w:r w:rsidR="00510A42" w:rsidRPr="00510A42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510A42" w:rsidRPr="00510A42">
            <w:rPr>
              <w:rFonts w:ascii="Times New Roman" w:hAnsi="Times New Roman" w:cs="Times New Roman"/>
              <w:noProof/>
              <w:sz w:val="24"/>
              <w:szCs w:val="24"/>
            </w:rPr>
            <w:t>(Quine, 2016)</w:t>
          </w:r>
          <w:r w:rsidR="00510A42" w:rsidRPr="00510A42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</w:p>
    <w:p w:rsidR="000725A2" w:rsidRPr="00510A42" w:rsidRDefault="000E435E" w:rsidP="00510A4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0A42">
        <w:rPr>
          <w:rFonts w:ascii="Times New Roman" w:hAnsi="Times New Roman" w:cs="Times New Roman"/>
          <w:sz w:val="24"/>
          <w:szCs w:val="24"/>
        </w:rPr>
        <w:t>Slow decision making requiring participation in an assembly ensure that competitors capitalizing on emerging and immediate markets</w:t>
      </w:r>
    </w:p>
    <w:p w:rsidR="00510A42" w:rsidRPr="00510A42" w:rsidRDefault="00510A42" w:rsidP="00510A4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0A42">
        <w:rPr>
          <w:rFonts w:ascii="Times New Roman" w:hAnsi="Times New Roman" w:cs="Times New Roman"/>
          <w:sz w:val="24"/>
          <w:szCs w:val="24"/>
        </w:rPr>
        <w:t>The status of owner and worker creates tension, particularly in situations where orders have to be handed down</w:t>
      </w:r>
    </w:p>
    <w:p w:rsidR="00D8571D" w:rsidRPr="00510A42" w:rsidRDefault="00D8571D" w:rsidP="00510A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0A42">
        <w:rPr>
          <w:rFonts w:ascii="Times New Roman" w:hAnsi="Times New Roman" w:cs="Times New Roman"/>
          <w:sz w:val="24"/>
          <w:szCs w:val="24"/>
        </w:rPr>
        <w:t>Opportunities</w:t>
      </w:r>
    </w:p>
    <w:p w:rsidR="00D8571D" w:rsidRPr="00510A42" w:rsidRDefault="000725A2" w:rsidP="00510A4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0A42">
        <w:rPr>
          <w:rFonts w:ascii="Times New Roman" w:hAnsi="Times New Roman" w:cs="Times New Roman"/>
          <w:sz w:val="24"/>
          <w:szCs w:val="24"/>
        </w:rPr>
        <w:lastRenderedPageBreak/>
        <w:t>The various businesses under the umbrella of Mondragon Corporation can mitigate downturn through relocation of employees</w:t>
      </w:r>
    </w:p>
    <w:p w:rsidR="000725A2" w:rsidRPr="00510A42" w:rsidRDefault="000725A2" w:rsidP="00510A4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0A42">
        <w:rPr>
          <w:rFonts w:ascii="Times New Roman" w:hAnsi="Times New Roman" w:cs="Times New Roman"/>
          <w:sz w:val="24"/>
          <w:szCs w:val="24"/>
        </w:rPr>
        <w:t xml:space="preserve">The good standing and stature of the corporation is highly influential for other local businesses to </w:t>
      </w:r>
      <w:r w:rsidR="000E435E" w:rsidRPr="00510A42">
        <w:rPr>
          <w:rFonts w:ascii="Times New Roman" w:hAnsi="Times New Roman" w:cs="Times New Roman"/>
          <w:sz w:val="24"/>
          <w:szCs w:val="24"/>
        </w:rPr>
        <w:t>join or acquisition</w:t>
      </w:r>
    </w:p>
    <w:p w:rsidR="000E435E" w:rsidRPr="00510A42" w:rsidRDefault="000E435E" w:rsidP="00510A4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0A42">
        <w:rPr>
          <w:rFonts w:ascii="Times New Roman" w:hAnsi="Times New Roman" w:cs="Times New Roman"/>
          <w:sz w:val="24"/>
          <w:szCs w:val="24"/>
        </w:rPr>
        <w:t>The corporation could increase the number of factories under its umbrella with sites overseas</w:t>
      </w:r>
    </w:p>
    <w:p w:rsidR="00D8571D" w:rsidRPr="00510A42" w:rsidRDefault="00D8571D" w:rsidP="00510A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0A42">
        <w:rPr>
          <w:rFonts w:ascii="Times New Roman" w:hAnsi="Times New Roman" w:cs="Times New Roman"/>
          <w:sz w:val="24"/>
          <w:szCs w:val="24"/>
        </w:rPr>
        <w:t>Threats</w:t>
      </w:r>
    </w:p>
    <w:p w:rsidR="0061171E" w:rsidRPr="00510A42" w:rsidRDefault="000E435E" w:rsidP="00510A4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0A42">
        <w:rPr>
          <w:rFonts w:ascii="Times New Roman" w:hAnsi="Times New Roman" w:cs="Times New Roman"/>
          <w:sz w:val="24"/>
          <w:szCs w:val="24"/>
        </w:rPr>
        <w:t>The localized structure limits the talent acquisition which other capitalist competitors have in bulk</w:t>
      </w:r>
    </w:p>
    <w:p w:rsidR="000E435E" w:rsidRPr="00510A42" w:rsidRDefault="000E435E" w:rsidP="00510A4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0A42">
        <w:rPr>
          <w:rFonts w:ascii="Times New Roman" w:hAnsi="Times New Roman" w:cs="Times New Roman"/>
          <w:sz w:val="24"/>
          <w:szCs w:val="24"/>
        </w:rPr>
        <w:t>The primary concern for the corporation is its owners, which may inhibit earning the maximum profits making it less competitive</w:t>
      </w:r>
      <w:r w:rsidR="00510A42" w:rsidRPr="00510A42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826917563"/>
          <w:citation/>
        </w:sdtPr>
        <w:sdtContent>
          <w:r w:rsidR="00510A42" w:rsidRPr="00510A42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510A42" w:rsidRPr="00510A42">
            <w:rPr>
              <w:rFonts w:ascii="Times New Roman" w:hAnsi="Times New Roman" w:cs="Times New Roman"/>
              <w:sz w:val="24"/>
              <w:szCs w:val="24"/>
            </w:rPr>
            <w:instrText xml:space="preserve"> CITATION Laf12 \l 1033 </w:instrText>
          </w:r>
          <w:r w:rsidR="00510A42" w:rsidRPr="00510A42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510A42" w:rsidRPr="00510A42">
            <w:rPr>
              <w:rFonts w:ascii="Times New Roman" w:hAnsi="Times New Roman" w:cs="Times New Roman"/>
              <w:noProof/>
              <w:sz w:val="24"/>
              <w:szCs w:val="24"/>
            </w:rPr>
            <w:t>(Lafuente, 2012)</w:t>
          </w:r>
          <w:r w:rsidR="00510A42" w:rsidRPr="00510A42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</w:p>
    <w:p w:rsidR="000E435E" w:rsidRPr="00510A42" w:rsidRDefault="000E435E" w:rsidP="00510A4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0A42">
        <w:rPr>
          <w:rFonts w:ascii="Times New Roman" w:hAnsi="Times New Roman" w:cs="Times New Roman"/>
          <w:sz w:val="24"/>
          <w:szCs w:val="24"/>
        </w:rPr>
        <w:t>Existence of other international corporation limited to operate in a single industry with capitalist drive such as the Co-operative Group of supermarkets in the U.K.</w:t>
      </w:r>
    </w:p>
    <w:p w:rsidR="00510A42" w:rsidRPr="00510A42" w:rsidRDefault="00510A42" w:rsidP="00510A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0A42">
        <w:rPr>
          <w:rFonts w:ascii="Times New Roman" w:hAnsi="Times New Roman" w:cs="Times New Roman"/>
          <w:sz w:val="24"/>
          <w:szCs w:val="24"/>
        </w:rPr>
        <w:br w:type="page"/>
      </w:r>
    </w:p>
    <w:sdt>
      <w:sdtPr>
        <w:rPr>
          <w:rFonts w:ascii="Times New Roman" w:hAnsi="Times New Roman" w:cs="Times New Roman"/>
          <w:b w:val="0"/>
          <w:color w:val="auto"/>
          <w:sz w:val="24"/>
          <w:szCs w:val="24"/>
        </w:rPr>
        <w:id w:val="826917570"/>
        <w:docPartObj>
          <w:docPartGallery w:val="Bibliographies"/>
          <w:docPartUnique/>
        </w:docPartObj>
      </w:sdtPr>
      <w:sdtEndPr>
        <w:rPr>
          <w:rFonts w:eastAsiaTheme="minorEastAsia"/>
          <w:bCs w:val="0"/>
          <w:lang w:bidi="ar-SA"/>
        </w:rPr>
      </w:sdtEndPr>
      <w:sdtContent>
        <w:p w:rsidR="00510A42" w:rsidRPr="00510A42" w:rsidRDefault="00510A42" w:rsidP="00510A42">
          <w:pPr>
            <w:pStyle w:val="Heading1"/>
            <w:spacing w:line="480" w:lineRule="auto"/>
            <w:jc w:val="center"/>
            <w:rPr>
              <w:rFonts w:ascii="Times New Roman" w:hAnsi="Times New Roman" w:cs="Times New Roman"/>
              <w:b w:val="0"/>
              <w:color w:val="auto"/>
              <w:sz w:val="24"/>
              <w:szCs w:val="24"/>
            </w:rPr>
          </w:pPr>
          <w:r w:rsidRPr="00510A42">
            <w:rPr>
              <w:rFonts w:ascii="Times New Roman" w:hAnsi="Times New Roman" w:cs="Times New Roman"/>
              <w:b w:val="0"/>
              <w:color w:val="auto"/>
              <w:sz w:val="24"/>
              <w:szCs w:val="24"/>
            </w:rPr>
            <w:t>References</w:t>
          </w:r>
        </w:p>
        <w:sdt>
          <w:sdtPr>
            <w:rPr>
              <w:rFonts w:ascii="Times New Roman" w:hAnsi="Times New Roman" w:cs="Times New Roman"/>
              <w:sz w:val="24"/>
              <w:szCs w:val="24"/>
            </w:rPr>
            <w:id w:val="111145805"/>
            <w:bibliography/>
          </w:sdtPr>
          <w:sdtContent>
            <w:p w:rsidR="00510A42" w:rsidRPr="00510A42" w:rsidRDefault="00510A42" w:rsidP="00510A42">
              <w:pPr>
                <w:pStyle w:val="Bibliography"/>
                <w:spacing w:line="480" w:lineRule="auto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510A42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Pr="00510A42">
                <w:rPr>
                  <w:rFonts w:ascii="Times New Roman" w:hAnsi="Times New Roman" w:cs="Times New Roman"/>
                  <w:sz w:val="24"/>
                  <w:szCs w:val="24"/>
                </w:rPr>
                <w:instrText xml:space="preserve"> BIBLIOGRAPHY </w:instrText>
              </w:r>
              <w:r w:rsidRPr="00510A42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Pr="00510A42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Lafuente, J. l. (2012, may 11). </w:t>
              </w:r>
              <w:r w:rsidRPr="00510A42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The Mondragon Coorperative Experience: Humanity at Work</w:t>
              </w:r>
              <w:r w:rsidRPr="00510A42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 Retrieved March 22, 2020, from Management Exchange: https://www.managementexchange.com/story/mondragon-cooperative-experience-humanity-work</w:t>
              </w:r>
            </w:p>
            <w:p w:rsidR="00510A42" w:rsidRPr="00510A42" w:rsidRDefault="00510A42" w:rsidP="00510A42">
              <w:pPr>
                <w:pStyle w:val="Bibliography"/>
                <w:spacing w:line="480" w:lineRule="auto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510A42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Lezamiz, M. (2013, March 25). Understanding the Mondragon Worker Cooperative Corporation in Spain's Basque Country. (A. Goodman, Interviewer)</w:t>
              </w:r>
            </w:p>
            <w:p w:rsidR="00510A42" w:rsidRPr="00510A42" w:rsidRDefault="00510A42" w:rsidP="00510A42">
              <w:pPr>
                <w:pStyle w:val="Bibliography"/>
                <w:spacing w:line="480" w:lineRule="auto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510A42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Quine, O. (2016, July 15). </w:t>
              </w:r>
              <w:r w:rsidRPr="00510A42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Pulling Together: The Co-operative Resurgence</w:t>
              </w:r>
              <w:r w:rsidRPr="00510A42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 Retrieved March 22, 2020, from Raconteur: https://www.raconteur.net/current-affairs/pulling-together-the-co-operative-resurgence</w:t>
              </w:r>
            </w:p>
            <w:p w:rsidR="00510A42" w:rsidRPr="00510A42" w:rsidRDefault="00510A42" w:rsidP="00510A42">
              <w:pPr>
                <w:spacing w:line="480" w:lineRule="auto"/>
                <w:ind w:left="720" w:hanging="720"/>
                <w:rPr>
                  <w:rFonts w:ascii="Times New Roman" w:hAnsi="Times New Roman" w:cs="Times New Roman"/>
                  <w:sz w:val="24"/>
                  <w:szCs w:val="24"/>
                </w:rPr>
              </w:pPr>
              <w:r w:rsidRPr="00510A42">
                <w:rPr>
                  <w:rFonts w:ascii="Times New Roman" w:hAnsi="Times New Roman" w:cs="Times New Roman"/>
                  <w:sz w:val="24"/>
                  <w:szCs w:val="24"/>
                </w:rPr>
                <w:fldChar w:fldCharType="end"/>
              </w:r>
            </w:p>
          </w:sdtContent>
        </w:sdt>
      </w:sdtContent>
    </w:sdt>
    <w:p w:rsidR="000E435E" w:rsidRPr="00510A42" w:rsidRDefault="000E435E" w:rsidP="00510A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0E435E" w:rsidRPr="00510A42" w:rsidSect="00510A42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2299" w:rsidRDefault="00302299" w:rsidP="00510A42">
      <w:pPr>
        <w:spacing w:after="0" w:line="240" w:lineRule="auto"/>
      </w:pPr>
      <w:r>
        <w:separator/>
      </w:r>
    </w:p>
  </w:endnote>
  <w:endnote w:type="continuationSeparator" w:id="1">
    <w:p w:rsidR="00302299" w:rsidRDefault="00302299" w:rsidP="00510A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2299" w:rsidRDefault="00302299" w:rsidP="00510A42">
      <w:pPr>
        <w:spacing w:after="0" w:line="240" w:lineRule="auto"/>
      </w:pPr>
      <w:r>
        <w:separator/>
      </w:r>
    </w:p>
  </w:footnote>
  <w:footnote w:type="continuationSeparator" w:id="1">
    <w:p w:rsidR="00302299" w:rsidRDefault="00302299" w:rsidP="00510A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A42" w:rsidRPr="00510A42" w:rsidRDefault="00510A42">
    <w:pPr>
      <w:pStyle w:val="Header"/>
      <w:jc w:val="right"/>
      <w:rPr>
        <w:rFonts w:ascii="Times New Roman" w:hAnsi="Times New Roman" w:cs="Times New Roman"/>
        <w:sz w:val="24"/>
      </w:rPr>
    </w:pPr>
    <w:r w:rsidRPr="00510A42">
      <w:rPr>
        <w:rFonts w:ascii="Times New Roman" w:hAnsi="Times New Roman" w:cs="Times New Roman"/>
        <w:sz w:val="24"/>
      </w:rPr>
      <w:t>MONDRAGON CORPORATION SWOT ANALYSIS</w:t>
    </w:r>
    <w:r w:rsidRPr="00510A42">
      <w:rPr>
        <w:rFonts w:ascii="Times New Roman" w:hAnsi="Times New Roman" w:cs="Times New Roman"/>
        <w:sz w:val="24"/>
      </w:rPr>
      <w:tab/>
    </w:r>
    <w:sdt>
      <w:sdtPr>
        <w:rPr>
          <w:rFonts w:ascii="Times New Roman" w:hAnsi="Times New Roman" w:cs="Times New Roman"/>
          <w:sz w:val="24"/>
        </w:rPr>
        <w:id w:val="826917577"/>
        <w:docPartObj>
          <w:docPartGallery w:val="Page Numbers (Top of Page)"/>
          <w:docPartUnique/>
        </w:docPartObj>
      </w:sdtPr>
      <w:sdtContent>
        <w:r w:rsidRPr="00510A42">
          <w:rPr>
            <w:rFonts w:ascii="Times New Roman" w:hAnsi="Times New Roman" w:cs="Times New Roman"/>
            <w:sz w:val="24"/>
          </w:rPr>
          <w:fldChar w:fldCharType="begin"/>
        </w:r>
        <w:r w:rsidRPr="00510A42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510A42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3</w:t>
        </w:r>
        <w:r w:rsidRPr="00510A42">
          <w:rPr>
            <w:rFonts w:ascii="Times New Roman" w:hAnsi="Times New Roman" w:cs="Times New Roman"/>
            <w:sz w:val="24"/>
          </w:rPr>
          <w:fldChar w:fldCharType="end"/>
        </w:r>
      </w:sdtContent>
    </w:sdt>
  </w:p>
  <w:p w:rsidR="00510A42" w:rsidRPr="00510A42" w:rsidRDefault="00510A42">
    <w:pPr>
      <w:pStyle w:val="Header"/>
      <w:rPr>
        <w:rFonts w:ascii="Times New Roman" w:hAnsi="Times New Roman" w:cs="Times New Roman"/>
        <w:sz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A42" w:rsidRPr="00510A42" w:rsidRDefault="00510A42">
    <w:pPr>
      <w:pStyle w:val="Header"/>
      <w:jc w:val="right"/>
      <w:rPr>
        <w:rFonts w:ascii="Times New Roman" w:hAnsi="Times New Roman" w:cs="Times New Roman"/>
        <w:sz w:val="24"/>
      </w:rPr>
    </w:pPr>
    <w:r w:rsidRPr="00510A42">
      <w:rPr>
        <w:rFonts w:ascii="Times New Roman" w:hAnsi="Times New Roman" w:cs="Times New Roman"/>
        <w:sz w:val="24"/>
      </w:rPr>
      <w:t xml:space="preserve">Running Head: MONDRAGON CORPORATION SWOT ANALYSIS </w:t>
    </w:r>
    <w:r w:rsidRPr="00510A42">
      <w:rPr>
        <w:rFonts w:ascii="Times New Roman" w:hAnsi="Times New Roman" w:cs="Times New Roman"/>
        <w:sz w:val="24"/>
      </w:rPr>
      <w:tab/>
    </w:r>
    <w:sdt>
      <w:sdtPr>
        <w:rPr>
          <w:rFonts w:ascii="Times New Roman" w:hAnsi="Times New Roman" w:cs="Times New Roman"/>
          <w:sz w:val="24"/>
        </w:rPr>
        <w:id w:val="826917629"/>
        <w:docPartObj>
          <w:docPartGallery w:val="Page Numbers (Top of Page)"/>
          <w:docPartUnique/>
        </w:docPartObj>
      </w:sdtPr>
      <w:sdtContent>
        <w:r w:rsidRPr="00510A42">
          <w:rPr>
            <w:rFonts w:ascii="Times New Roman" w:hAnsi="Times New Roman" w:cs="Times New Roman"/>
            <w:sz w:val="24"/>
          </w:rPr>
          <w:fldChar w:fldCharType="begin"/>
        </w:r>
        <w:r w:rsidRPr="00510A42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510A42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1</w:t>
        </w:r>
        <w:r w:rsidRPr="00510A42">
          <w:rPr>
            <w:rFonts w:ascii="Times New Roman" w:hAnsi="Times New Roman" w:cs="Times New Roman"/>
            <w:sz w:val="24"/>
          </w:rPr>
          <w:fldChar w:fldCharType="end"/>
        </w:r>
      </w:sdtContent>
    </w:sdt>
  </w:p>
  <w:p w:rsidR="00510A42" w:rsidRPr="00510A42" w:rsidRDefault="00510A42">
    <w:pPr>
      <w:pStyle w:val="Header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4400FF"/>
    <w:multiLevelType w:val="hybridMultilevel"/>
    <w:tmpl w:val="BE429A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8571D"/>
    <w:rsid w:val="000725A2"/>
    <w:rsid w:val="000E435E"/>
    <w:rsid w:val="00152FEF"/>
    <w:rsid w:val="001E0F49"/>
    <w:rsid w:val="00302299"/>
    <w:rsid w:val="003D2D78"/>
    <w:rsid w:val="00510A42"/>
    <w:rsid w:val="0061171E"/>
    <w:rsid w:val="006A5D42"/>
    <w:rsid w:val="00845680"/>
    <w:rsid w:val="00D8571D"/>
    <w:rsid w:val="00E51589"/>
    <w:rsid w:val="00EE61D3"/>
    <w:rsid w:val="00F61F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0A4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171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0A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A42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510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paragraph" w:styleId="Bibliography">
    <w:name w:val="Bibliography"/>
    <w:basedOn w:val="Normal"/>
    <w:next w:val="Normal"/>
    <w:uiPriority w:val="37"/>
    <w:unhideWhenUsed/>
    <w:rsid w:val="00510A42"/>
  </w:style>
  <w:style w:type="paragraph" w:styleId="Header">
    <w:name w:val="header"/>
    <w:basedOn w:val="Normal"/>
    <w:link w:val="HeaderChar"/>
    <w:uiPriority w:val="99"/>
    <w:unhideWhenUsed/>
    <w:rsid w:val="00510A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0A42"/>
  </w:style>
  <w:style w:type="paragraph" w:styleId="Footer">
    <w:name w:val="footer"/>
    <w:basedOn w:val="Normal"/>
    <w:link w:val="FooterChar"/>
    <w:uiPriority w:val="99"/>
    <w:semiHidden/>
    <w:unhideWhenUsed/>
    <w:rsid w:val="00510A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10A4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Laf12</b:Tag>
    <b:SourceType>InternetSite</b:SourceType>
    <b:Guid>{2D14685C-E92B-49D1-B0F1-89DDDA248FF0}</b:Guid>
    <b:LCID>0</b:LCID>
    <b:Author>
      <b:Author>
        <b:NameList>
          <b:Person>
            <b:Last>Lafuente</b:Last>
            <b:First>Jose</b:First>
            <b:Middle>luis</b:Middle>
          </b:Person>
        </b:NameList>
      </b:Author>
    </b:Author>
    <b:Title>The Mondragon Coorperative Experience: Humanity at Work</b:Title>
    <b:InternetSiteTitle>Management Exchange</b:InternetSiteTitle>
    <b:Year>2012</b:Year>
    <b:Month>may</b:Month>
    <b:Day>11</b:Day>
    <b:YearAccessed>2020</b:YearAccessed>
    <b:MonthAccessed>March</b:MonthAccessed>
    <b:DayAccessed>22</b:DayAccessed>
    <b:URL>https://www.managementexchange.com/story/mondragon-cooperative-experience-humanity-work</b:URL>
    <b:RefOrder>1</b:RefOrder>
  </b:Source>
  <b:Source>
    <b:Tag>Lez13</b:Tag>
    <b:SourceType>Interview</b:SourceType>
    <b:Guid>{3903D628-76F4-444E-8D7C-0534D18F88E1}</b:Guid>
    <b:LCID>0</b:LCID>
    <b:Author>
      <b:Interviewee>
        <b:NameList>
          <b:Person>
            <b:Last>Lezamiz</b:Last>
            <b:First>Mikel</b:First>
          </b:Person>
        </b:NameList>
      </b:Interviewee>
      <b:Interviewer>
        <b:NameList>
          <b:Person>
            <b:Last>Goodman</b:Last>
            <b:First>Amy</b:First>
          </b:Person>
        </b:NameList>
      </b:Interviewer>
    </b:Author>
    <b:Title>Understanding the Mondragon Worker Cooperative Corporation in Spain's Basque Country</b:Title>
    <b:Year>2013</b:Year>
    <b:Month>March</b:Month>
    <b:Day>25</b:Day>
    <b:RefOrder>2</b:RefOrder>
  </b:Source>
  <b:Source>
    <b:Tag>Qui161</b:Tag>
    <b:SourceType>InternetSite</b:SourceType>
    <b:Guid>{F8AC6FC1-7D4A-4852-A524-72C22829AED9}</b:Guid>
    <b:LCID>0</b:LCID>
    <b:Author>
      <b:Author>
        <b:NameList>
          <b:Person>
            <b:Last>Quine</b:Last>
            <b:First>Oscar</b:First>
          </b:Person>
        </b:NameList>
      </b:Author>
    </b:Author>
    <b:Title>Pulling Together: The Co-operative Resurgence</b:Title>
    <b:Year>2016</b:Year>
    <b:Month>July</b:Month>
    <b:Day>15</b:Day>
    <b:InternetSiteTitle>Raconteur</b:InternetSiteTitle>
    <b:YearAccessed>2020</b:YearAccessed>
    <b:MonthAccessed>March</b:MonthAccessed>
    <b:DayAccessed>22</b:DayAccessed>
    <b:URL>https://www.raconteur.net/current-affairs/pulling-together-the-co-operative-resurgence</b:URL>
    <b:RefOrder>3</b:RefOrder>
  </b:Source>
</b:Sources>
</file>

<file path=customXml/itemProps1.xml><?xml version="1.0" encoding="utf-8"?>
<ds:datastoreItem xmlns:ds="http://schemas.openxmlformats.org/officeDocument/2006/customXml" ds:itemID="{148387EA-4A5A-4018-BFFC-EEF8A4AD5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5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2020-03-22T13:57:00Z</dcterms:created>
  <dcterms:modified xsi:type="dcterms:W3CDTF">2020-03-22T18:01:00Z</dcterms:modified>
</cp:coreProperties>
</file>