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6C3" w:rsidRDefault="007C57F4" w:rsidP="006340FD">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7C57F4" w:rsidRDefault="007C57F4" w:rsidP="006340FD">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7C57F4" w:rsidRDefault="007C57F4" w:rsidP="006340FD">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7C57F4" w:rsidRDefault="007C57F4" w:rsidP="006340FD">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7C57F4" w:rsidRDefault="007C57F4" w:rsidP="007C57F4">
      <w:pPr>
        <w:spacing w:line="480" w:lineRule="auto"/>
        <w:jc w:val="center"/>
        <w:rPr>
          <w:rFonts w:ascii="Times New Roman" w:hAnsi="Times New Roman" w:cs="Times New Roman"/>
          <w:sz w:val="24"/>
          <w:szCs w:val="24"/>
        </w:rPr>
      </w:pPr>
      <w:r>
        <w:rPr>
          <w:rFonts w:ascii="Times New Roman" w:hAnsi="Times New Roman" w:cs="Times New Roman"/>
          <w:sz w:val="24"/>
          <w:szCs w:val="24"/>
        </w:rPr>
        <w:t>Case analysis: Soap makers i</w:t>
      </w:r>
      <w:bookmarkStart w:id="0" w:name="_GoBack"/>
      <w:bookmarkEnd w:id="0"/>
      <w:r>
        <w:rPr>
          <w:rFonts w:ascii="Times New Roman" w:hAnsi="Times New Roman" w:cs="Times New Roman"/>
          <w:sz w:val="24"/>
          <w:szCs w:val="24"/>
        </w:rPr>
        <w:t>nternational</w:t>
      </w:r>
    </w:p>
    <w:p w:rsidR="00925971" w:rsidRPr="006340FD" w:rsidRDefault="00482C35" w:rsidP="006340FD">
      <w:pPr>
        <w:pStyle w:val="ListParagraph"/>
        <w:numPr>
          <w:ilvl w:val="0"/>
          <w:numId w:val="1"/>
        </w:numPr>
        <w:spacing w:line="480" w:lineRule="auto"/>
        <w:rPr>
          <w:rFonts w:ascii="Times New Roman" w:hAnsi="Times New Roman" w:cs="Times New Roman"/>
          <w:sz w:val="24"/>
          <w:szCs w:val="24"/>
        </w:rPr>
      </w:pPr>
      <w:r w:rsidRPr="006340FD">
        <w:rPr>
          <w:rFonts w:ascii="Times New Roman" w:hAnsi="Times New Roman" w:cs="Times New Roman"/>
          <w:sz w:val="24"/>
          <w:szCs w:val="24"/>
        </w:rPr>
        <w:t xml:space="preserve">Ingrid’s exploration of changing her cost allocation of overhead from the traditional approach to ABC approach is justifiable on the basis of costing. An alternative that would provide reduced costs of manufacturing would be preferred to one that is more costly. The only way to understand the cost of various elements of cost drivers is to explore on another method of allocating overheads. In this case, it is necessary for Ingrid to check on the multiple costing pools and compare to the traditional as the accounting officer of the production division. </w:t>
      </w:r>
    </w:p>
    <w:p w:rsidR="006340FD" w:rsidRPr="006340FD" w:rsidRDefault="006340FD" w:rsidP="006340FD">
      <w:pPr>
        <w:pStyle w:val="ListParagraph"/>
        <w:numPr>
          <w:ilvl w:val="0"/>
          <w:numId w:val="1"/>
        </w:numPr>
        <w:spacing w:line="480" w:lineRule="auto"/>
        <w:rPr>
          <w:rFonts w:ascii="Times New Roman" w:hAnsi="Times New Roman" w:cs="Times New Roman"/>
          <w:sz w:val="24"/>
          <w:szCs w:val="24"/>
        </w:rPr>
      </w:pPr>
    </w:p>
    <w:tbl>
      <w:tblPr>
        <w:tblW w:w="8545" w:type="dxa"/>
        <w:tblLook w:val="04A0" w:firstRow="1" w:lastRow="0" w:firstColumn="1" w:lastColumn="0" w:noHBand="0" w:noVBand="1"/>
      </w:tblPr>
      <w:tblGrid>
        <w:gridCol w:w="3592"/>
        <w:gridCol w:w="2603"/>
        <w:gridCol w:w="2128"/>
        <w:gridCol w:w="222"/>
      </w:tblGrid>
      <w:tr w:rsidR="006340FD" w:rsidRPr="006340FD" w:rsidTr="00871D2E">
        <w:trPr>
          <w:trHeight w:val="300"/>
        </w:trPr>
        <w:tc>
          <w:tcPr>
            <w:tcW w:w="3592"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rPr>
                <w:rFonts w:ascii="Times New Roman" w:eastAsia="Times New Roman" w:hAnsi="Times New Roman" w:cs="Times New Roman"/>
                <w:sz w:val="24"/>
                <w:szCs w:val="24"/>
              </w:rPr>
            </w:pPr>
          </w:p>
        </w:tc>
        <w:tc>
          <w:tcPr>
            <w:tcW w:w="4953" w:type="dxa"/>
            <w:gridSpan w:val="3"/>
            <w:tcBorders>
              <w:top w:val="nil"/>
              <w:left w:val="nil"/>
              <w:bottom w:val="nil"/>
              <w:right w:val="nil"/>
            </w:tcBorders>
            <w:shd w:val="clear" w:color="auto" w:fill="auto"/>
            <w:noWrap/>
            <w:vAlign w:val="bottom"/>
            <w:hideMark/>
          </w:tcPr>
          <w:p w:rsidR="006340FD" w:rsidRPr="006340FD" w:rsidRDefault="006340FD" w:rsidP="006340FD">
            <w:pPr>
              <w:spacing w:after="0" w:line="480" w:lineRule="auto"/>
              <w:jc w:val="center"/>
              <w:rPr>
                <w:rFonts w:ascii="Times New Roman" w:eastAsia="Times New Roman" w:hAnsi="Times New Roman" w:cs="Times New Roman"/>
                <w:color w:val="000000"/>
                <w:sz w:val="24"/>
                <w:szCs w:val="24"/>
              </w:rPr>
            </w:pPr>
            <w:r w:rsidRPr="006340FD">
              <w:rPr>
                <w:rFonts w:ascii="Times New Roman" w:eastAsia="Times New Roman" w:hAnsi="Times New Roman" w:cs="Times New Roman"/>
                <w:color w:val="000000"/>
                <w:sz w:val="24"/>
                <w:szCs w:val="24"/>
              </w:rPr>
              <w:t xml:space="preserve">Direct labor cost base </w:t>
            </w:r>
          </w:p>
        </w:tc>
      </w:tr>
      <w:tr w:rsidR="006340FD" w:rsidRPr="006340FD" w:rsidTr="00871D2E">
        <w:trPr>
          <w:trHeight w:val="300"/>
        </w:trPr>
        <w:tc>
          <w:tcPr>
            <w:tcW w:w="3592" w:type="dxa"/>
            <w:tcBorders>
              <w:top w:val="nil"/>
              <w:left w:val="nil"/>
              <w:bottom w:val="nil"/>
              <w:right w:val="nil"/>
            </w:tcBorders>
            <w:shd w:val="clear" w:color="000000" w:fill="EDEDED"/>
            <w:noWrap/>
            <w:vAlign w:val="bottom"/>
            <w:hideMark/>
          </w:tcPr>
          <w:p w:rsidR="006340FD" w:rsidRPr="006340FD" w:rsidRDefault="006340FD" w:rsidP="006340FD">
            <w:pPr>
              <w:spacing w:after="0" w:line="480" w:lineRule="auto"/>
              <w:rPr>
                <w:rFonts w:ascii="Times New Roman" w:eastAsia="Times New Roman" w:hAnsi="Times New Roman" w:cs="Times New Roman"/>
                <w:color w:val="000000"/>
                <w:sz w:val="24"/>
                <w:szCs w:val="24"/>
              </w:rPr>
            </w:pPr>
            <w:r w:rsidRPr="006340FD">
              <w:rPr>
                <w:rFonts w:ascii="Times New Roman" w:eastAsia="Times New Roman" w:hAnsi="Times New Roman" w:cs="Times New Roman"/>
                <w:color w:val="000000"/>
                <w:sz w:val="24"/>
                <w:szCs w:val="24"/>
              </w:rPr>
              <w:t xml:space="preserve">Particulars </w:t>
            </w:r>
          </w:p>
        </w:tc>
        <w:tc>
          <w:tcPr>
            <w:tcW w:w="2603" w:type="dxa"/>
            <w:tcBorders>
              <w:top w:val="nil"/>
              <w:left w:val="nil"/>
              <w:bottom w:val="nil"/>
              <w:right w:val="nil"/>
            </w:tcBorders>
            <w:shd w:val="clear" w:color="000000" w:fill="EDEDED"/>
            <w:noWrap/>
            <w:vAlign w:val="bottom"/>
            <w:hideMark/>
          </w:tcPr>
          <w:p w:rsidR="006340FD" w:rsidRPr="006340FD" w:rsidRDefault="006340FD" w:rsidP="006340FD">
            <w:pPr>
              <w:spacing w:after="0" w:line="480" w:lineRule="auto"/>
              <w:jc w:val="center"/>
              <w:rPr>
                <w:rFonts w:ascii="Times New Roman" w:eastAsia="Times New Roman" w:hAnsi="Times New Roman" w:cs="Times New Roman"/>
                <w:color w:val="000000"/>
                <w:sz w:val="24"/>
                <w:szCs w:val="24"/>
              </w:rPr>
            </w:pPr>
            <w:r w:rsidRPr="006340FD">
              <w:rPr>
                <w:rFonts w:ascii="Times New Roman" w:eastAsia="Times New Roman" w:hAnsi="Times New Roman" w:cs="Times New Roman"/>
                <w:color w:val="000000"/>
                <w:sz w:val="24"/>
                <w:szCs w:val="24"/>
              </w:rPr>
              <w:t xml:space="preserve">Industrial Soap </w:t>
            </w:r>
          </w:p>
        </w:tc>
        <w:tc>
          <w:tcPr>
            <w:tcW w:w="2128" w:type="dxa"/>
            <w:tcBorders>
              <w:top w:val="nil"/>
              <w:left w:val="nil"/>
              <w:bottom w:val="nil"/>
              <w:right w:val="nil"/>
            </w:tcBorders>
            <w:shd w:val="clear" w:color="000000" w:fill="EDEDED"/>
            <w:noWrap/>
            <w:vAlign w:val="bottom"/>
            <w:hideMark/>
          </w:tcPr>
          <w:p w:rsidR="006340FD" w:rsidRPr="006340FD" w:rsidRDefault="006340FD" w:rsidP="006340FD">
            <w:pPr>
              <w:spacing w:after="0" w:line="480" w:lineRule="auto"/>
              <w:jc w:val="center"/>
              <w:rPr>
                <w:rFonts w:ascii="Times New Roman" w:eastAsia="Times New Roman" w:hAnsi="Times New Roman" w:cs="Times New Roman"/>
                <w:color w:val="000000"/>
                <w:sz w:val="24"/>
                <w:szCs w:val="24"/>
              </w:rPr>
            </w:pPr>
            <w:r w:rsidRPr="006340FD">
              <w:rPr>
                <w:rFonts w:ascii="Times New Roman" w:eastAsia="Times New Roman" w:hAnsi="Times New Roman" w:cs="Times New Roman"/>
                <w:color w:val="000000"/>
                <w:sz w:val="24"/>
                <w:szCs w:val="24"/>
              </w:rPr>
              <w:t>Luxury Soap</w:t>
            </w:r>
          </w:p>
        </w:tc>
        <w:tc>
          <w:tcPr>
            <w:tcW w:w="222"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jc w:val="center"/>
              <w:rPr>
                <w:rFonts w:ascii="Times New Roman" w:eastAsia="Times New Roman" w:hAnsi="Times New Roman" w:cs="Times New Roman"/>
                <w:color w:val="000000"/>
                <w:sz w:val="24"/>
                <w:szCs w:val="24"/>
              </w:rPr>
            </w:pPr>
          </w:p>
        </w:tc>
      </w:tr>
      <w:tr w:rsidR="006340FD" w:rsidRPr="006340FD" w:rsidTr="00871D2E">
        <w:trPr>
          <w:trHeight w:val="300"/>
        </w:trPr>
        <w:tc>
          <w:tcPr>
            <w:tcW w:w="3592"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rPr>
                <w:rFonts w:ascii="Times New Roman" w:eastAsia="Times New Roman" w:hAnsi="Times New Roman" w:cs="Times New Roman"/>
                <w:color w:val="000000"/>
                <w:sz w:val="24"/>
                <w:szCs w:val="24"/>
              </w:rPr>
            </w:pPr>
            <w:r w:rsidRPr="006340FD">
              <w:rPr>
                <w:rFonts w:ascii="Times New Roman" w:eastAsia="Times New Roman" w:hAnsi="Times New Roman" w:cs="Times New Roman"/>
                <w:color w:val="000000"/>
                <w:sz w:val="24"/>
                <w:szCs w:val="24"/>
              </w:rPr>
              <w:t>Direct material</w:t>
            </w:r>
          </w:p>
        </w:tc>
        <w:tc>
          <w:tcPr>
            <w:tcW w:w="2603"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jc w:val="center"/>
              <w:rPr>
                <w:rFonts w:ascii="Times New Roman" w:eastAsia="Times New Roman" w:hAnsi="Times New Roman" w:cs="Times New Roman"/>
                <w:color w:val="000000"/>
                <w:sz w:val="24"/>
                <w:szCs w:val="24"/>
              </w:rPr>
            </w:pPr>
            <w:r w:rsidRPr="006340FD">
              <w:rPr>
                <w:rFonts w:ascii="Times New Roman" w:eastAsia="Times New Roman" w:hAnsi="Times New Roman" w:cs="Times New Roman"/>
                <w:color w:val="000000"/>
                <w:sz w:val="24"/>
                <w:szCs w:val="24"/>
              </w:rPr>
              <w:t>0.40</w:t>
            </w:r>
          </w:p>
        </w:tc>
        <w:tc>
          <w:tcPr>
            <w:tcW w:w="2128"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jc w:val="center"/>
              <w:rPr>
                <w:rFonts w:ascii="Times New Roman" w:eastAsia="Times New Roman" w:hAnsi="Times New Roman" w:cs="Times New Roman"/>
                <w:color w:val="000000"/>
                <w:sz w:val="24"/>
                <w:szCs w:val="24"/>
              </w:rPr>
            </w:pPr>
            <w:r w:rsidRPr="006340FD">
              <w:rPr>
                <w:rFonts w:ascii="Times New Roman" w:eastAsia="Times New Roman" w:hAnsi="Times New Roman" w:cs="Times New Roman"/>
                <w:color w:val="000000"/>
                <w:sz w:val="24"/>
                <w:szCs w:val="24"/>
              </w:rPr>
              <w:t>0.80</w:t>
            </w:r>
          </w:p>
        </w:tc>
        <w:tc>
          <w:tcPr>
            <w:tcW w:w="222"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jc w:val="center"/>
              <w:rPr>
                <w:rFonts w:ascii="Times New Roman" w:eastAsia="Times New Roman" w:hAnsi="Times New Roman" w:cs="Times New Roman"/>
                <w:color w:val="000000"/>
                <w:sz w:val="24"/>
                <w:szCs w:val="24"/>
              </w:rPr>
            </w:pPr>
          </w:p>
        </w:tc>
      </w:tr>
      <w:tr w:rsidR="006340FD" w:rsidRPr="006340FD" w:rsidTr="00871D2E">
        <w:trPr>
          <w:trHeight w:val="300"/>
        </w:trPr>
        <w:tc>
          <w:tcPr>
            <w:tcW w:w="3592"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rPr>
                <w:rFonts w:ascii="Times New Roman" w:eastAsia="Times New Roman" w:hAnsi="Times New Roman" w:cs="Times New Roman"/>
                <w:color w:val="000000"/>
                <w:sz w:val="24"/>
                <w:szCs w:val="24"/>
              </w:rPr>
            </w:pPr>
            <w:r w:rsidRPr="006340FD">
              <w:rPr>
                <w:rFonts w:ascii="Times New Roman" w:eastAsia="Times New Roman" w:hAnsi="Times New Roman" w:cs="Times New Roman"/>
                <w:color w:val="000000"/>
                <w:sz w:val="24"/>
                <w:szCs w:val="24"/>
              </w:rPr>
              <w:t xml:space="preserve">Packaging </w:t>
            </w:r>
          </w:p>
        </w:tc>
        <w:tc>
          <w:tcPr>
            <w:tcW w:w="2603"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jc w:val="center"/>
              <w:rPr>
                <w:rFonts w:ascii="Times New Roman" w:eastAsia="Times New Roman" w:hAnsi="Times New Roman" w:cs="Times New Roman"/>
                <w:color w:val="000000"/>
                <w:sz w:val="24"/>
                <w:szCs w:val="24"/>
              </w:rPr>
            </w:pPr>
            <w:r w:rsidRPr="006340FD">
              <w:rPr>
                <w:rFonts w:ascii="Times New Roman" w:eastAsia="Times New Roman" w:hAnsi="Times New Roman" w:cs="Times New Roman"/>
                <w:color w:val="000000"/>
                <w:sz w:val="24"/>
                <w:szCs w:val="24"/>
              </w:rPr>
              <w:t>0.1</w:t>
            </w:r>
          </w:p>
        </w:tc>
        <w:tc>
          <w:tcPr>
            <w:tcW w:w="2128"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jc w:val="center"/>
              <w:rPr>
                <w:rFonts w:ascii="Times New Roman" w:eastAsia="Times New Roman" w:hAnsi="Times New Roman" w:cs="Times New Roman"/>
                <w:color w:val="000000"/>
                <w:sz w:val="24"/>
                <w:szCs w:val="24"/>
              </w:rPr>
            </w:pPr>
            <w:r w:rsidRPr="006340FD">
              <w:rPr>
                <w:rFonts w:ascii="Times New Roman" w:eastAsia="Times New Roman" w:hAnsi="Times New Roman" w:cs="Times New Roman"/>
                <w:color w:val="000000"/>
                <w:sz w:val="24"/>
                <w:szCs w:val="24"/>
              </w:rPr>
              <w:t>0.6</w:t>
            </w:r>
          </w:p>
        </w:tc>
        <w:tc>
          <w:tcPr>
            <w:tcW w:w="222"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jc w:val="center"/>
              <w:rPr>
                <w:rFonts w:ascii="Times New Roman" w:eastAsia="Times New Roman" w:hAnsi="Times New Roman" w:cs="Times New Roman"/>
                <w:color w:val="000000"/>
                <w:sz w:val="24"/>
                <w:szCs w:val="24"/>
              </w:rPr>
            </w:pPr>
          </w:p>
        </w:tc>
      </w:tr>
      <w:tr w:rsidR="006340FD" w:rsidRPr="006340FD" w:rsidTr="00871D2E">
        <w:trPr>
          <w:trHeight w:val="300"/>
        </w:trPr>
        <w:tc>
          <w:tcPr>
            <w:tcW w:w="3592"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rPr>
                <w:rFonts w:ascii="Times New Roman" w:eastAsia="Times New Roman" w:hAnsi="Times New Roman" w:cs="Times New Roman"/>
                <w:color w:val="000000"/>
                <w:sz w:val="24"/>
                <w:szCs w:val="24"/>
              </w:rPr>
            </w:pPr>
            <w:r w:rsidRPr="006340FD">
              <w:rPr>
                <w:rFonts w:ascii="Times New Roman" w:eastAsia="Times New Roman" w:hAnsi="Times New Roman" w:cs="Times New Roman"/>
                <w:color w:val="000000"/>
                <w:sz w:val="24"/>
                <w:szCs w:val="24"/>
              </w:rPr>
              <w:t xml:space="preserve">Direct Labor </w:t>
            </w:r>
          </w:p>
        </w:tc>
        <w:tc>
          <w:tcPr>
            <w:tcW w:w="2603"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jc w:val="center"/>
              <w:rPr>
                <w:rFonts w:ascii="Times New Roman" w:eastAsia="Times New Roman" w:hAnsi="Times New Roman" w:cs="Times New Roman"/>
                <w:color w:val="000000"/>
                <w:sz w:val="24"/>
                <w:szCs w:val="24"/>
              </w:rPr>
            </w:pPr>
            <w:r w:rsidRPr="006340FD">
              <w:rPr>
                <w:rFonts w:ascii="Times New Roman" w:eastAsia="Times New Roman" w:hAnsi="Times New Roman" w:cs="Times New Roman"/>
                <w:color w:val="000000"/>
                <w:sz w:val="24"/>
                <w:szCs w:val="24"/>
              </w:rPr>
              <w:t>0.14</w:t>
            </w:r>
          </w:p>
        </w:tc>
        <w:tc>
          <w:tcPr>
            <w:tcW w:w="2128"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jc w:val="center"/>
              <w:rPr>
                <w:rFonts w:ascii="Times New Roman" w:eastAsia="Times New Roman" w:hAnsi="Times New Roman" w:cs="Times New Roman"/>
                <w:color w:val="000000"/>
                <w:sz w:val="24"/>
                <w:szCs w:val="24"/>
              </w:rPr>
            </w:pPr>
            <w:r w:rsidRPr="006340FD">
              <w:rPr>
                <w:rFonts w:ascii="Times New Roman" w:eastAsia="Times New Roman" w:hAnsi="Times New Roman" w:cs="Times New Roman"/>
                <w:color w:val="000000"/>
                <w:sz w:val="24"/>
                <w:szCs w:val="24"/>
              </w:rPr>
              <w:t>0.15</w:t>
            </w:r>
          </w:p>
        </w:tc>
        <w:tc>
          <w:tcPr>
            <w:tcW w:w="222"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jc w:val="center"/>
              <w:rPr>
                <w:rFonts w:ascii="Times New Roman" w:eastAsia="Times New Roman" w:hAnsi="Times New Roman" w:cs="Times New Roman"/>
                <w:color w:val="000000"/>
                <w:sz w:val="24"/>
                <w:szCs w:val="24"/>
              </w:rPr>
            </w:pPr>
          </w:p>
        </w:tc>
      </w:tr>
      <w:tr w:rsidR="006340FD" w:rsidRPr="006340FD" w:rsidTr="00871D2E">
        <w:trPr>
          <w:trHeight w:val="300"/>
        </w:trPr>
        <w:tc>
          <w:tcPr>
            <w:tcW w:w="3592"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rPr>
                <w:rFonts w:ascii="Times New Roman" w:eastAsia="Times New Roman" w:hAnsi="Times New Roman" w:cs="Times New Roman"/>
                <w:color w:val="000000"/>
                <w:sz w:val="24"/>
                <w:szCs w:val="24"/>
              </w:rPr>
            </w:pPr>
            <w:r w:rsidRPr="006340FD">
              <w:rPr>
                <w:rFonts w:ascii="Times New Roman" w:eastAsia="Times New Roman" w:hAnsi="Times New Roman" w:cs="Times New Roman"/>
                <w:color w:val="000000"/>
                <w:sz w:val="24"/>
                <w:szCs w:val="24"/>
              </w:rPr>
              <w:t>Manufacturing Overheads per labor hrs.</w:t>
            </w:r>
          </w:p>
        </w:tc>
        <w:tc>
          <w:tcPr>
            <w:tcW w:w="2603"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jc w:val="center"/>
              <w:rPr>
                <w:rFonts w:ascii="Times New Roman" w:eastAsia="Times New Roman" w:hAnsi="Times New Roman" w:cs="Times New Roman"/>
                <w:color w:val="000000"/>
                <w:sz w:val="24"/>
                <w:szCs w:val="24"/>
              </w:rPr>
            </w:pPr>
            <w:r w:rsidRPr="006340FD">
              <w:rPr>
                <w:rFonts w:ascii="Times New Roman" w:eastAsia="Times New Roman" w:hAnsi="Times New Roman" w:cs="Times New Roman"/>
                <w:color w:val="000000"/>
                <w:sz w:val="24"/>
                <w:szCs w:val="24"/>
              </w:rPr>
              <w:t>1.91</w:t>
            </w:r>
          </w:p>
        </w:tc>
        <w:tc>
          <w:tcPr>
            <w:tcW w:w="2128"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jc w:val="center"/>
              <w:rPr>
                <w:rFonts w:ascii="Times New Roman" w:eastAsia="Times New Roman" w:hAnsi="Times New Roman" w:cs="Times New Roman"/>
                <w:color w:val="000000"/>
                <w:sz w:val="24"/>
                <w:szCs w:val="24"/>
              </w:rPr>
            </w:pPr>
            <w:r w:rsidRPr="006340FD">
              <w:rPr>
                <w:rFonts w:ascii="Times New Roman" w:eastAsia="Times New Roman" w:hAnsi="Times New Roman" w:cs="Times New Roman"/>
                <w:color w:val="000000"/>
                <w:sz w:val="24"/>
                <w:szCs w:val="24"/>
              </w:rPr>
              <w:t>8.89</w:t>
            </w:r>
          </w:p>
        </w:tc>
        <w:tc>
          <w:tcPr>
            <w:tcW w:w="222"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jc w:val="center"/>
              <w:rPr>
                <w:rFonts w:ascii="Times New Roman" w:eastAsia="Times New Roman" w:hAnsi="Times New Roman" w:cs="Times New Roman"/>
                <w:color w:val="000000"/>
                <w:sz w:val="24"/>
                <w:szCs w:val="24"/>
              </w:rPr>
            </w:pPr>
          </w:p>
        </w:tc>
      </w:tr>
      <w:tr w:rsidR="006340FD" w:rsidRPr="006340FD" w:rsidTr="00871D2E">
        <w:trPr>
          <w:trHeight w:val="300"/>
        </w:trPr>
        <w:tc>
          <w:tcPr>
            <w:tcW w:w="3592"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rPr>
                <w:rFonts w:ascii="Times New Roman" w:eastAsia="Times New Roman" w:hAnsi="Times New Roman" w:cs="Times New Roman"/>
                <w:color w:val="000000"/>
                <w:sz w:val="24"/>
                <w:szCs w:val="24"/>
              </w:rPr>
            </w:pPr>
            <w:r w:rsidRPr="006340FD">
              <w:rPr>
                <w:rFonts w:ascii="Times New Roman" w:eastAsia="Times New Roman" w:hAnsi="Times New Roman" w:cs="Times New Roman"/>
                <w:color w:val="000000"/>
                <w:sz w:val="24"/>
                <w:szCs w:val="24"/>
              </w:rPr>
              <w:t xml:space="preserve">Total Cost Per Unit </w:t>
            </w:r>
          </w:p>
        </w:tc>
        <w:tc>
          <w:tcPr>
            <w:tcW w:w="2603"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jc w:val="center"/>
              <w:rPr>
                <w:rFonts w:ascii="Times New Roman" w:eastAsia="Times New Roman" w:hAnsi="Times New Roman" w:cs="Times New Roman"/>
                <w:color w:val="000000"/>
                <w:sz w:val="24"/>
                <w:szCs w:val="24"/>
              </w:rPr>
            </w:pPr>
            <w:r w:rsidRPr="006340FD">
              <w:rPr>
                <w:rFonts w:ascii="Times New Roman" w:eastAsia="Times New Roman" w:hAnsi="Times New Roman" w:cs="Times New Roman"/>
                <w:color w:val="000000"/>
                <w:sz w:val="24"/>
                <w:szCs w:val="24"/>
              </w:rPr>
              <w:t>$2.55</w:t>
            </w:r>
          </w:p>
        </w:tc>
        <w:tc>
          <w:tcPr>
            <w:tcW w:w="2128"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jc w:val="center"/>
              <w:rPr>
                <w:rFonts w:ascii="Times New Roman" w:eastAsia="Times New Roman" w:hAnsi="Times New Roman" w:cs="Times New Roman"/>
                <w:color w:val="000000"/>
                <w:sz w:val="24"/>
                <w:szCs w:val="24"/>
              </w:rPr>
            </w:pPr>
            <w:r w:rsidRPr="006340FD">
              <w:rPr>
                <w:rFonts w:ascii="Times New Roman" w:eastAsia="Times New Roman" w:hAnsi="Times New Roman" w:cs="Times New Roman"/>
                <w:color w:val="000000"/>
                <w:sz w:val="24"/>
                <w:szCs w:val="24"/>
              </w:rPr>
              <w:t>$10.44</w:t>
            </w:r>
          </w:p>
        </w:tc>
        <w:tc>
          <w:tcPr>
            <w:tcW w:w="222"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jc w:val="center"/>
              <w:rPr>
                <w:rFonts w:ascii="Times New Roman" w:eastAsia="Times New Roman" w:hAnsi="Times New Roman" w:cs="Times New Roman"/>
                <w:color w:val="000000"/>
                <w:sz w:val="24"/>
                <w:szCs w:val="24"/>
              </w:rPr>
            </w:pPr>
          </w:p>
        </w:tc>
      </w:tr>
      <w:tr w:rsidR="006340FD" w:rsidRPr="006340FD" w:rsidTr="00871D2E">
        <w:trPr>
          <w:trHeight w:val="300"/>
        </w:trPr>
        <w:tc>
          <w:tcPr>
            <w:tcW w:w="3592"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rPr>
                <w:rFonts w:ascii="Times New Roman" w:eastAsia="Times New Roman" w:hAnsi="Times New Roman" w:cs="Times New Roman"/>
                <w:sz w:val="24"/>
                <w:szCs w:val="24"/>
              </w:rPr>
            </w:pPr>
          </w:p>
        </w:tc>
        <w:tc>
          <w:tcPr>
            <w:tcW w:w="2603"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rPr>
                <w:rFonts w:ascii="Times New Roman" w:eastAsia="Times New Roman" w:hAnsi="Times New Roman" w:cs="Times New Roman"/>
                <w:sz w:val="24"/>
                <w:szCs w:val="24"/>
              </w:rPr>
            </w:pPr>
          </w:p>
        </w:tc>
        <w:tc>
          <w:tcPr>
            <w:tcW w:w="2128"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jc w:val="center"/>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jc w:val="center"/>
              <w:rPr>
                <w:rFonts w:ascii="Times New Roman" w:eastAsia="Times New Roman" w:hAnsi="Times New Roman" w:cs="Times New Roman"/>
                <w:sz w:val="24"/>
                <w:szCs w:val="24"/>
              </w:rPr>
            </w:pPr>
          </w:p>
        </w:tc>
      </w:tr>
      <w:tr w:rsidR="006340FD" w:rsidRPr="006340FD" w:rsidTr="00871D2E">
        <w:trPr>
          <w:trHeight w:val="300"/>
        </w:trPr>
        <w:tc>
          <w:tcPr>
            <w:tcW w:w="3592" w:type="dxa"/>
            <w:tcBorders>
              <w:top w:val="nil"/>
              <w:left w:val="nil"/>
              <w:bottom w:val="nil"/>
              <w:right w:val="nil"/>
            </w:tcBorders>
            <w:shd w:val="clear" w:color="auto" w:fill="auto"/>
            <w:noWrap/>
            <w:vAlign w:val="bottom"/>
            <w:hideMark/>
          </w:tcPr>
          <w:p w:rsidR="006340FD" w:rsidRDefault="006340FD" w:rsidP="006340FD">
            <w:pPr>
              <w:spacing w:after="0" w:line="480" w:lineRule="auto"/>
              <w:rPr>
                <w:rFonts w:ascii="Times New Roman" w:eastAsia="Times New Roman" w:hAnsi="Times New Roman" w:cs="Times New Roman"/>
                <w:sz w:val="24"/>
                <w:szCs w:val="24"/>
              </w:rPr>
            </w:pPr>
            <w:r w:rsidRPr="006340FD">
              <w:rPr>
                <w:rFonts w:ascii="Times New Roman" w:eastAsia="Times New Roman" w:hAnsi="Times New Roman" w:cs="Times New Roman"/>
                <w:sz w:val="24"/>
                <w:szCs w:val="24"/>
              </w:rPr>
              <w:lastRenderedPageBreak/>
              <w:t>The manufacturing cost is absorbed using the single cost drive of labor hours. Through this method Ingrid is able to cost one Industrial soap at $2.55 and the luxury soap at $10.44</w:t>
            </w:r>
          </w:p>
          <w:p w:rsidR="006340FD" w:rsidRDefault="00871D2E" w:rsidP="00871D2E">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p w:rsidR="00871D2E" w:rsidRPr="00871D2E" w:rsidRDefault="00871D2E" w:rsidP="00871D2E">
            <w:pPr>
              <w:spacing w:after="0" w:line="480" w:lineRule="auto"/>
              <w:rPr>
                <w:rFonts w:ascii="Times New Roman" w:eastAsia="Times New Roman" w:hAnsi="Times New Roman" w:cs="Times New Roman"/>
                <w:sz w:val="24"/>
                <w:szCs w:val="24"/>
              </w:rPr>
            </w:pPr>
          </w:p>
        </w:tc>
        <w:tc>
          <w:tcPr>
            <w:tcW w:w="2603"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rPr>
                <w:rFonts w:ascii="Times New Roman" w:eastAsia="Times New Roman" w:hAnsi="Times New Roman" w:cs="Times New Roman"/>
                <w:sz w:val="24"/>
                <w:szCs w:val="24"/>
              </w:rPr>
            </w:pPr>
          </w:p>
        </w:tc>
        <w:tc>
          <w:tcPr>
            <w:tcW w:w="2128"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jc w:val="center"/>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rsidR="006340FD" w:rsidRPr="006340FD" w:rsidRDefault="006340FD" w:rsidP="006340FD">
            <w:pPr>
              <w:spacing w:after="0" w:line="480" w:lineRule="auto"/>
              <w:jc w:val="center"/>
              <w:rPr>
                <w:rFonts w:ascii="Times New Roman" w:eastAsia="Times New Roman" w:hAnsi="Times New Roman" w:cs="Times New Roman"/>
                <w:sz w:val="24"/>
                <w:szCs w:val="24"/>
              </w:rPr>
            </w:pPr>
          </w:p>
        </w:tc>
      </w:tr>
    </w:tbl>
    <w:p w:rsidR="00482C35" w:rsidRDefault="00871D2E" w:rsidP="006340FD">
      <w:pPr>
        <w:pStyle w:val="ListParagraph"/>
        <w:spacing w:line="480" w:lineRule="auto"/>
        <w:rPr>
          <w:rFonts w:ascii="Times New Roman" w:hAnsi="Times New Roman" w:cs="Times New Roman"/>
          <w:sz w:val="24"/>
          <w:szCs w:val="24"/>
        </w:rPr>
      </w:pPr>
      <w:r>
        <w:rPr>
          <w:noProof/>
        </w:rPr>
        <w:drawing>
          <wp:inline distT="0" distB="0" distL="0" distR="0" wp14:anchorId="74D3C353" wp14:editId="69881203">
            <wp:extent cx="5943600" cy="2484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2484120"/>
                    </a:xfrm>
                    <a:prstGeom prst="rect">
                      <a:avLst/>
                    </a:prstGeom>
                  </pic:spPr>
                </pic:pic>
              </a:graphicData>
            </a:graphic>
          </wp:inline>
        </w:drawing>
      </w:r>
    </w:p>
    <w:p w:rsidR="002436C3" w:rsidRDefault="00871D2E" w:rsidP="00871D2E">
      <w:pPr>
        <w:spacing w:line="480" w:lineRule="auto"/>
        <w:rPr>
          <w:rFonts w:ascii="Times New Roman" w:hAnsi="Times New Roman" w:cs="Times New Roman"/>
          <w:sz w:val="24"/>
          <w:szCs w:val="24"/>
        </w:rPr>
      </w:pPr>
      <w:r>
        <w:rPr>
          <w:rFonts w:ascii="Times New Roman" w:hAnsi="Times New Roman" w:cs="Times New Roman"/>
          <w:sz w:val="24"/>
          <w:szCs w:val="24"/>
        </w:rPr>
        <w:t xml:space="preserve">d). </w:t>
      </w:r>
      <w:r w:rsidR="002436C3">
        <w:rPr>
          <w:rFonts w:ascii="Times New Roman" w:hAnsi="Times New Roman" w:cs="Times New Roman"/>
          <w:sz w:val="24"/>
          <w:szCs w:val="24"/>
        </w:rPr>
        <w:t xml:space="preserve">The cost allocation support the need to use the ABC approach since the industrial soap is $1.03 less costly same as the luxury soap which drops cost by $0.56. </w:t>
      </w:r>
    </w:p>
    <w:p w:rsidR="00871D2E" w:rsidRPr="00871D2E" w:rsidRDefault="002436C3" w:rsidP="00871D2E">
      <w:pPr>
        <w:spacing w:line="480" w:lineRule="auto"/>
        <w:rPr>
          <w:rFonts w:ascii="Times New Roman" w:hAnsi="Times New Roman" w:cs="Times New Roman"/>
          <w:sz w:val="24"/>
          <w:szCs w:val="24"/>
        </w:rPr>
      </w:pPr>
      <w:r>
        <w:rPr>
          <w:rFonts w:ascii="Times New Roman" w:hAnsi="Times New Roman" w:cs="Times New Roman"/>
          <w:sz w:val="24"/>
          <w:szCs w:val="24"/>
        </w:rPr>
        <w:t xml:space="preserve">e) From the observations made in d) above I would advise Ingrid Krause to adopt the new costing method because it narrows down the cost drivers and ensures that the right amount is spent on the items produced.  </w:t>
      </w:r>
    </w:p>
    <w:sectPr w:rsidR="00871D2E" w:rsidRPr="00871D2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531E" w:rsidRDefault="003F531E" w:rsidP="007C57F4">
      <w:pPr>
        <w:spacing w:after="0" w:line="240" w:lineRule="auto"/>
      </w:pPr>
      <w:r>
        <w:separator/>
      </w:r>
    </w:p>
  </w:endnote>
  <w:endnote w:type="continuationSeparator" w:id="0">
    <w:p w:rsidR="003F531E" w:rsidRDefault="003F531E" w:rsidP="007C5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531E" w:rsidRDefault="003F531E" w:rsidP="007C57F4">
      <w:pPr>
        <w:spacing w:after="0" w:line="240" w:lineRule="auto"/>
      </w:pPr>
      <w:r>
        <w:separator/>
      </w:r>
    </w:p>
  </w:footnote>
  <w:footnote w:type="continuationSeparator" w:id="0">
    <w:p w:rsidR="003F531E" w:rsidRDefault="003F531E" w:rsidP="007C57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57F4" w:rsidRPr="007C57F4" w:rsidRDefault="007C57F4">
    <w:pPr>
      <w:pStyle w:val="Header"/>
      <w:jc w:val="right"/>
      <w:rPr>
        <w:rFonts w:ascii="Times New Roman" w:hAnsi="Times New Roman" w:cs="Times New Roman"/>
        <w:sz w:val="24"/>
        <w:szCs w:val="24"/>
      </w:rPr>
    </w:pPr>
    <w:r w:rsidRPr="007C57F4">
      <w:rPr>
        <w:rFonts w:ascii="Times New Roman" w:hAnsi="Times New Roman" w:cs="Times New Roman"/>
        <w:sz w:val="24"/>
        <w:szCs w:val="24"/>
      </w:rPr>
      <w:t xml:space="preserve">Surname </w:t>
    </w:r>
    <w:sdt>
      <w:sdtPr>
        <w:rPr>
          <w:rFonts w:ascii="Times New Roman" w:hAnsi="Times New Roman" w:cs="Times New Roman"/>
          <w:sz w:val="24"/>
          <w:szCs w:val="24"/>
        </w:rPr>
        <w:id w:val="845599518"/>
        <w:docPartObj>
          <w:docPartGallery w:val="Page Numbers (Top of Page)"/>
          <w:docPartUnique/>
        </w:docPartObj>
      </w:sdtPr>
      <w:sdtEndPr>
        <w:rPr>
          <w:noProof/>
        </w:rPr>
      </w:sdtEndPr>
      <w:sdtContent>
        <w:r w:rsidRPr="007C57F4">
          <w:rPr>
            <w:rFonts w:ascii="Times New Roman" w:hAnsi="Times New Roman" w:cs="Times New Roman"/>
            <w:sz w:val="24"/>
            <w:szCs w:val="24"/>
          </w:rPr>
          <w:fldChar w:fldCharType="begin"/>
        </w:r>
        <w:r w:rsidRPr="007C57F4">
          <w:rPr>
            <w:rFonts w:ascii="Times New Roman" w:hAnsi="Times New Roman" w:cs="Times New Roman"/>
            <w:sz w:val="24"/>
            <w:szCs w:val="24"/>
          </w:rPr>
          <w:instrText xml:space="preserve"> PAGE   \* MERGEFORMAT </w:instrText>
        </w:r>
        <w:r w:rsidRPr="007C57F4">
          <w:rPr>
            <w:rFonts w:ascii="Times New Roman" w:hAnsi="Times New Roman" w:cs="Times New Roman"/>
            <w:sz w:val="24"/>
            <w:szCs w:val="24"/>
          </w:rPr>
          <w:fldChar w:fldCharType="separate"/>
        </w:r>
        <w:r>
          <w:rPr>
            <w:rFonts w:ascii="Times New Roman" w:hAnsi="Times New Roman" w:cs="Times New Roman"/>
            <w:noProof/>
            <w:sz w:val="24"/>
            <w:szCs w:val="24"/>
          </w:rPr>
          <w:t>1</w:t>
        </w:r>
        <w:r w:rsidRPr="007C57F4">
          <w:rPr>
            <w:rFonts w:ascii="Times New Roman" w:hAnsi="Times New Roman" w:cs="Times New Roman"/>
            <w:noProof/>
            <w:sz w:val="24"/>
            <w:szCs w:val="24"/>
          </w:rPr>
          <w:fldChar w:fldCharType="end"/>
        </w:r>
      </w:sdtContent>
    </w:sdt>
  </w:p>
  <w:p w:rsidR="007C57F4" w:rsidRPr="007C57F4" w:rsidRDefault="007C57F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D94C72"/>
    <w:multiLevelType w:val="hybridMultilevel"/>
    <w:tmpl w:val="98A6B9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C35"/>
    <w:rsid w:val="002436C3"/>
    <w:rsid w:val="003F531E"/>
    <w:rsid w:val="00482C35"/>
    <w:rsid w:val="006340FD"/>
    <w:rsid w:val="007C57F4"/>
    <w:rsid w:val="00871D2E"/>
    <w:rsid w:val="00925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D35261-CD37-4A12-ACF6-E0BD08406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2C35"/>
    <w:pPr>
      <w:ind w:left="720"/>
      <w:contextualSpacing/>
    </w:pPr>
  </w:style>
  <w:style w:type="paragraph" w:styleId="Header">
    <w:name w:val="header"/>
    <w:basedOn w:val="Normal"/>
    <w:link w:val="HeaderChar"/>
    <w:uiPriority w:val="99"/>
    <w:unhideWhenUsed/>
    <w:rsid w:val="007C57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7F4"/>
  </w:style>
  <w:style w:type="paragraph" w:styleId="Footer">
    <w:name w:val="footer"/>
    <w:basedOn w:val="Normal"/>
    <w:link w:val="FooterChar"/>
    <w:uiPriority w:val="99"/>
    <w:unhideWhenUsed/>
    <w:rsid w:val="007C57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7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6910060">
      <w:bodyDiv w:val="1"/>
      <w:marLeft w:val="0"/>
      <w:marRight w:val="0"/>
      <w:marTop w:val="0"/>
      <w:marBottom w:val="0"/>
      <w:divBdr>
        <w:top w:val="none" w:sz="0" w:space="0" w:color="auto"/>
        <w:left w:val="none" w:sz="0" w:space="0" w:color="auto"/>
        <w:bottom w:val="none" w:sz="0" w:space="0" w:color="auto"/>
        <w:right w:val="none" w:sz="0" w:space="0" w:color="auto"/>
      </w:divBdr>
    </w:div>
    <w:div w:id="141054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213</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TUSH</dc:creator>
  <cp:keywords/>
  <dc:description/>
  <cp:lastModifiedBy>TUSH</cp:lastModifiedBy>
  <cp:revision>1</cp:revision>
  <dcterms:created xsi:type="dcterms:W3CDTF">2021-02-05T13:34:00Z</dcterms:created>
  <dcterms:modified xsi:type="dcterms:W3CDTF">2021-02-05T21:10:00Z</dcterms:modified>
</cp:coreProperties>
</file>