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F6D" w:rsidRPr="000318F9" w:rsidRDefault="00972F6D"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rPr>
          <w:rFonts w:ascii="Times New Roman" w:hAnsi="Times New Roman" w:cs="Times New Roman"/>
          <w:sz w:val="24"/>
          <w:szCs w:val="24"/>
        </w:rPr>
      </w:pPr>
    </w:p>
    <w:p w:rsidR="00B55281" w:rsidRPr="000318F9" w:rsidRDefault="00B55281" w:rsidP="000318F9">
      <w:pPr>
        <w:spacing w:after="0" w:line="480" w:lineRule="auto"/>
        <w:jc w:val="center"/>
        <w:rPr>
          <w:rFonts w:ascii="Times New Roman" w:hAnsi="Times New Roman" w:cs="Times New Roman"/>
          <w:sz w:val="24"/>
          <w:szCs w:val="24"/>
        </w:rPr>
      </w:pPr>
      <w:r w:rsidRPr="000318F9">
        <w:rPr>
          <w:rFonts w:ascii="Times New Roman" w:hAnsi="Times New Roman" w:cs="Times New Roman"/>
          <w:sz w:val="24"/>
          <w:szCs w:val="24"/>
        </w:rPr>
        <w:t>Nitroprusside</w:t>
      </w:r>
    </w:p>
    <w:p w:rsidR="00B55281" w:rsidRPr="000318F9" w:rsidRDefault="00B55281" w:rsidP="000318F9">
      <w:pPr>
        <w:spacing w:after="0" w:line="480" w:lineRule="auto"/>
        <w:jc w:val="center"/>
        <w:rPr>
          <w:rFonts w:ascii="Times New Roman" w:hAnsi="Times New Roman" w:cs="Times New Roman"/>
          <w:sz w:val="24"/>
          <w:szCs w:val="24"/>
        </w:rPr>
      </w:pPr>
      <w:r w:rsidRPr="000318F9">
        <w:rPr>
          <w:rFonts w:ascii="Times New Roman" w:hAnsi="Times New Roman" w:cs="Times New Roman"/>
          <w:sz w:val="24"/>
          <w:szCs w:val="24"/>
        </w:rPr>
        <w:t xml:space="preserve">Name: </w:t>
      </w:r>
    </w:p>
    <w:p w:rsidR="008B7E21" w:rsidRPr="000318F9" w:rsidRDefault="00B55281" w:rsidP="000318F9">
      <w:pPr>
        <w:spacing w:after="0" w:line="480" w:lineRule="auto"/>
        <w:jc w:val="center"/>
        <w:rPr>
          <w:rFonts w:ascii="Times New Roman" w:hAnsi="Times New Roman" w:cs="Times New Roman"/>
          <w:sz w:val="24"/>
          <w:szCs w:val="24"/>
        </w:rPr>
      </w:pPr>
      <w:r w:rsidRPr="000318F9">
        <w:rPr>
          <w:rFonts w:ascii="Times New Roman" w:hAnsi="Times New Roman" w:cs="Times New Roman"/>
          <w:sz w:val="24"/>
          <w:szCs w:val="24"/>
        </w:rPr>
        <w:t xml:space="preserve">University: </w:t>
      </w:r>
    </w:p>
    <w:p w:rsidR="008B7E21" w:rsidRPr="000318F9" w:rsidRDefault="008B7E21" w:rsidP="000318F9">
      <w:pPr>
        <w:spacing w:line="480" w:lineRule="auto"/>
        <w:rPr>
          <w:rFonts w:ascii="Times New Roman" w:hAnsi="Times New Roman" w:cs="Times New Roman"/>
          <w:sz w:val="24"/>
          <w:szCs w:val="24"/>
        </w:rPr>
      </w:pPr>
      <w:r w:rsidRPr="000318F9">
        <w:rPr>
          <w:rFonts w:ascii="Times New Roman" w:hAnsi="Times New Roman" w:cs="Times New Roman"/>
          <w:sz w:val="24"/>
          <w:szCs w:val="24"/>
        </w:rPr>
        <w:br w:type="page"/>
      </w:r>
    </w:p>
    <w:p w:rsidR="00B55281" w:rsidRPr="000318F9" w:rsidRDefault="008B7E21" w:rsidP="000318F9">
      <w:pPr>
        <w:spacing w:after="0" w:line="480" w:lineRule="auto"/>
        <w:jc w:val="center"/>
        <w:rPr>
          <w:rFonts w:ascii="Times New Roman" w:hAnsi="Times New Roman" w:cs="Times New Roman"/>
          <w:sz w:val="24"/>
          <w:szCs w:val="24"/>
        </w:rPr>
      </w:pPr>
      <w:r w:rsidRPr="000318F9">
        <w:rPr>
          <w:rFonts w:ascii="Times New Roman" w:hAnsi="Times New Roman" w:cs="Times New Roman"/>
          <w:sz w:val="24"/>
          <w:szCs w:val="24"/>
        </w:rPr>
        <w:lastRenderedPageBreak/>
        <w:t xml:space="preserve">Nitroprusside </w:t>
      </w:r>
    </w:p>
    <w:p w:rsidR="008B7E21" w:rsidRPr="000318F9" w:rsidRDefault="008B7E21" w:rsidP="000318F9">
      <w:pPr>
        <w:spacing w:after="0" w:line="480" w:lineRule="auto"/>
        <w:rPr>
          <w:rFonts w:ascii="Times New Roman" w:hAnsi="Times New Roman" w:cs="Times New Roman"/>
          <w:sz w:val="24"/>
          <w:szCs w:val="24"/>
        </w:rPr>
      </w:pPr>
      <w:r w:rsidRPr="000318F9">
        <w:rPr>
          <w:rFonts w:ascii="Times New Roman" w:hAnsi="Times New Roman" w:cs="Times New Roman"/>
          <w:sz w:val="24"/>
          <w:szCs w:val="24"/>
        </w:rPr>
        <w:tab/>
        <w:t>Nitroprusside or sodium nitroprusside is an intravenous drug that is used clinically to cause an immediate decrease in blood pressure for hypertensive crises. It can also be useful for reduction of hemorrhage during surgical procedures and in the management of congestive cardiac failure</w:t>
      </w:r>
      <w:r w:rsidR="00E30D70">
        <w:rPr>
          <w:rFonts w:ascii="Times New Roman" w:hAnsi="Times New Roman" w:cs="Times New Roman"/>
          <w:sz w:val="24"/>
          <w:szCs w:val="24"/>
        </w:rPr>
        <w:t xml:space="preserve"> </w:t>
      </w:r>
      <w:r w:rsidR="00E30D70">
        <w:rPr>
          <w:rFonts w:ascii="Times New Roman" w:hAnsi="Times New Roman" w:cs="Times New Roman"/>
          <w:sz w:val="24"/>
          <w:szCs w:val="24"/>
        </w:rPr>
        <w:t>(Hottinger et al., 2014)</w:t>
      </w:r>
      <w:r w:rsidRPr="000318F9">
        <w:rPr>
          <w:rFonts w:ascii="Times New Roman" w:hAnsi="Times New Roman" w:cs="Times New Roman"/>
          <w:sz w:val="24"/>
          <w:szCs w:val="24"/>
        </w:rPr>
        <w:t xml:space="preserve">. </w:t>
      </w:r>
      <w:r w:rsidR="001F32FF" w:rsidRPr="000318F9">
        <w:rPr>
          <w:rFonts w:ascii="Times New Roman" w:hAnsi="Times New Roman" w:cs="Times New Roman"/>
          <w:sz w:val="24"/>
          <w:szCs w:val="24"/>
        </w:rPr>
        <w:t>The drug is almost exclusively metabolized in the blood. The nitroprusside molecule contains a ferrous ion which interacts with sulfhydryl compounds in the red blood cells in a rapid non-enzymatic reaction to form methemoglobin and five cyanide molecules. The methemoglobin sequesters one of the cya</w:t>
      </w:r>
      <w:r w:rsidR="00892A8B">
        <w:rPr>
          <w:rFonts w:ascii="Times New Roman" w:hAnsi="Times New Roman" w:cs="Times New Roman"/>
          <w:sz w:val="24"/>
          <w:szCs w:val="24"/>
        </w:rPr>
        <w:t>nide molecules to form cyan</w:t>
      </w:r>
      <w:r w:rsidR="001F32FF" w:rsidRPr="000318F9">
        <w:rPr>
          <w:rFonts w:ascii="Times New Roman" w:hAnsi="Times New Roman" w:cs="Times New Roman"/>
          <w:sz w:val="24"/>
          <w:szCs w:val="24"/>
        </w:rPr>
        <w:t xml:space="preserve">methemoglobin. The other cyanide </w:t>
      </w:r>
      <w:r w:rsidR="00892A8B" w:rsidRPr="000318F9">
        <w:rPr>
          <w:rFonts w:ascii="Times New Roman" w:hAnsi="Times New Roman" w:cs="Times New Roman"/>
          <w:sz w:val="24"/>
          <w:szCs w:val="24"/>
        </w:rPr>
        <w:t>molecules</w:t>
      </w:r>
      <w:r w:rsidR="001F32FF" w:rsidRPr="000318F9">
        <w:rPr>
          <w:rFonts w:ascii="Times New Roman" w:hAnsi="Times New Roman" w:cs="Times New Roman"/>
          <w:sz w:val="24"/>
          <w:szCs w:val="24"/>
        </w:rPr>
        <w:t xml:space="preserve"> com</w:t>
      </w:r>
      <w:r w:rsidR="002C00E2" w:rsidRPr="000318F9">
        <w:rPr>
          <w:rFonts w:ascii="Times New Roman" w:hAnsi="Times New Roman" w:cs="Times New Roman"/>
          <w:sz w:val="24"/>
          <w:szCs w:val="24"/>
        </w:rPr>
        <w:t>bine with thiosulfate in the liver and the kidneys to form thiocy</w:t>
      </w:r>
      <w:r w:rsidR="00892A8B">
        <w:rPr>
          <w:rFonts w:ascii="Times New Roman" w:hAnsi="Times New Roman" w:cs="Times New Roman"/>
          <w:sz w:val="24"/>
          <w:szCs w:val="24"/>
        </w:rPr>
        <w:t>a</w:t>
      </w:r>
      <w:r w:rsidR="002C00E2" w:rsidRPr="000318F9">
        <w:rPr>
          <w:rFonts w:ascii="Times New Roman" w:hAnsi="Times New Roman" w:cs="Times New Roman"/>
          <w:sz w:val="24"/>
          <w:szCs w:val="24"/>
        </w:rPr>
        <w:t>nate</w:t>
      </w:r>
      <w:r w:rsidR="00D60B95">
        <w:rPr>
          <w:rFonts w:ascii="Times New Roman" w:hAnsi="Times New Roman" w:cs="Times New Roman"/>
          <w:sz w:val="24"/>
          <w:szCs w:val="24"/>
        </w:rPr>
        <w:t xml:space="preserve"> (Lilley et al., 2014)</w:t>
      </w:r>
      <w:r w:rsidR="002C00E2" w:rsidRPr="000318F9">
        <w:rPr>
          <w:rFonts w:ascii="Times New Roman" w:hAnsi="Times New Roman" w:cs="Times New Roman"/>
          <w:sz w:val="24"/>
          <w:szCs w:val="24"/>
        </w:rPr>
        <w:t>. The enzyme rhodanese catalyzes the formation of thiocy</w:t>
      </w:r>
      <w:r w:rsidR="00892A8B">
        <w:rPr>
          <w:rFonts w:ascii="Times New Roman" w:hAnsi="Times New Roman" w:cs="Times New Roman"/>
          <w:sz w:val="24"/>
          <w:szCs w:val="24"/>
        </w:rPr>
        <w:t>a</w:t>
      </w:r>
      <w:r w:rsidR="002C00E2" w:rsidRPr="000318F9">
        <w:rPr>
          <w:rFonts w:ascii="Times New Roman" w:hAnsi="Times New Roman" w:cs="Times New Roman"/>
          <w:sz w:val="24"/>
          <w:szCs w:val="24"/>
        </w:rPr>
        <w:t>nate. Thiocyanate is eventually excreted via through urine.</w:t>
      </w:r>
    </w:p>
    <w:p w:rsidR="0063569B" w:rsidRPr="000318F9" w:rsidRDefault="0063569B" w:rsidP="000318F9">
      <w:pPr>
        <w:spacing w:after="0" w:line="480" w:lineRule="auto"/>
        <w:rPr>
          <w:rFonts w:ascii="Times New Roman" w:hAnsi="Times New Roman" w:cs="Times New Roman"/>
          <w:sz w:val="24"/>
          <w:szCs w:val="24"/>
        </w:rPr>
      </w:pPr>
      <w:r w:rsidRPr="000318F9">
        <w:rPr>
          <w:rFonts w:ascii="Times New Roman" w:hAnsi="Times New Roman" w:cs="Times New Roman"/>
          <w:sz w:val="24"/>
          <w:szCs w:val="24"/>
        </w:rPr>
        <w:tab/>
        <w:t>The drug is usually administered as a slow intravenous infusion. Due to the ability of the drug to form cyanide which is a lethal pois</w:t>
      </w:r>
      <w:r w:rsidR="003D02AE">
        <w:rPr>
          <w:rFonts w:ascii="Times New Roman" w:hAnsi="Times New Roman" w:cs="Times New Roman"/>
          <w:sz w:val="24"/>
          <w:szCs w:val="24"/>
        </w:rPr>
        <w:t xml:space="preserve">on to human beings, the drug </w:t>
      </w:r>
      <w:bookmarkStart w:id="0" w:name="_GoBack"/>
      <w:bookmarkEnd w:id="0"/>
      <w:r w:rsidRPr="000318F9">
        <w:rPr>
          <w:rFonts w:ascii="Times New Roman" w:hAnsi="Times New Roman" w:cs="Times New Roman"/>
          <w:sz w:val="24"/>
          <w:szCs w:val="24"/>
        </w:rPr>
        <w:t xml:space="preserve">solution is protected from direct light which can accelerate the formation of cyanide. Exogenous cyanide often has more adverse effects on the human body than endogenous cyanide. Thus, both the bottle containing the solution and the infusion lines are covered with dark-colored bags. </w:t>
      </w:r>
      <w:r w:rsidR="005F7771" w:rsidRPr="000318F9">
        <w:rPr>
          <w:rFonts w:ascii="Times New Roman" w:hAnsi="Times New Roman" w:cs="Times New Roman"/>
          <w:sz w:val="24"/>
          <w:szCs w:val="24"/>
        </w:rPr>
        <w:t xml:space="preserve">Additionally, to prevent extreme toxicity at the time of administration, it is important to give a solution whose concentration does not exceed the standard 200 micrograms </w:t>
      </w:r>
      <w:r w:rsidR="0091621A" w:rsidRPr="000318F9">
        <w:rPr>
          <w:rFonts w:ascii="Times New Roman" w:hAnsi="Times New Roman" w:cs="Times New Roman"/>
          <w:sz w:val="24"/>
          <w:szCs w:val="24"/>
        </w:rPr>
        <w:t>per ml of solution</w:t>
      </w:r>
      <w:r w:rsidR="008435C8">
        <w:rPr>
          <w:rFonts w:ascii="Times New Roman" w:hAnsi="Times New Roman" w:cs="Times New Roman"/>
          <w:sz w:val="24"/>
          <w:szCs w:val="24"/>
        </w:rPr>
        <w:t xml:space="preserve"> (Lilley et al., 2014)</w:t>
      </w:r>
      <w:r w:rsidR="0091621A" w:rsidRPr="000318F9">
        <w:rPr>
          <w:rFonts w:ascii="Times New Roman" w:hAnsi="Times New Roman" w:cs="Times New Roman"/>
          <w:sz w:val="24"/>
          <w:szCs w:val="24"/>
        </w:rPr>
        <w:t xml:space="preserve">. It is also essential to remember that the drug is incompatible with 5% dextrose solution. </w:t>
      </w:r>
    </w:p>
    <w:p w:rsidR="009F1EE1" w:rsidRPr="000318F9" w:rsidRDefault="0085520F" w:rsidP="000318F9">
      <w:pPr>
        <w:spacing w:after="0" w:line="480" w:lineRule="auto"/>
        <w:rPr>
          <w:rFonts w:ascii="Times New Roman" w:hAnsi="Times New Roman" w:cs="Times New Roman"/>
          <w:sz w:val="24"/>
          <w:szCs w:val="24"/>
        </w:rPr>
      </w:pPr>
      <w:r w:rsidRPr="000318F9">
        <w:rPr>
          <w:rFonts w:ascii="Times New Roman" w:hAnsi="Times New Roman" w:cs="Times New Roman"/>
          <w:sz w:val="24"/>
          <w:szCs w:val="24"/>
        </w:rPr>
        <w:tab/>
        <w:t xml:space="preserve">Owing to the high toxicity of the drug. It is essential to monitor its therapeutic efficiency closely. Since the drug is used primarily as an antihypertensive agent, monitoring blood pressure is the best measure of its therapeutic efficacy. Monitoring blood pressure can also help in the early detection of hypotension which is a potential adverse effect of the drug. </w:t>
      </w:r>
      <w:r w:rsidR="00EF2D77" w:rsidRPr="000318F9">
        <w:rPr>
          <w:rFonts w:ascii="Times New Roman" w:hAnsi="Times New Roman" w:cs="Times New Roman"/>
          <w:sz w:val="24"/>
          <w:szCs w:val="24"/>
        </w:rPr>
        <w:t xml:space="preserve">The drug can also </w:t>
      </w:r>
      <w:r w:rsidR="00EF2D77" w:rsidRPr="000318F9">
        <w:rPr>
          <w:rFonts w:ascii="Times New Roman" w:hAnsi="Times New Roman" w:cs="Times New Roman"/>
          <w:sz w:val="24"/>
          <w:szCs w:val="24"/>
        </w:rPr>
        <w:lastRenderedPageBreak/>
        <w:t>cause lethal arrhythmias hence the need to monitor the heart rate continuously; a change in heart rate could indicate an arrhythmia</w:t>
      </w:r>
      <w:r w:rsidR="00F21701">
        <w:rPr>
          <w:rFonts w:ascii="Times New Roman" w:hAnsi="Times New Roman" w:cs="Times New Roman"/>
          <w:sz w:val="24"/>
          <w:szCs w:val="24"/>
        </w:rPr>
        <w:t xml:space="preserve"> </w:t>
      </w:r>
      <w:r w:rsidR="00F21701">
        <w:rPr>
          <w:rFonts w:ascii="Times New Roman" w:hAnsi="Times New Roman" w:cs="Times New Roman"/>
          <w:sz w:val="24"/>
          <w:szCs w:val="24"/>
        </w:rPr>
        <w:t>(Hottinger et al., 2014)</w:t>
      </w:r>
      <w:r w:rsidR="00EF2D77" w:rsidRPr="000318F9">
        <w:rPr>
          <w:rFonts w:ascii="Times New Roman" w:hAnsi="Times New Roman" w:cs="Times New Roman"/>
          <w:sz w:val="24"/>
          <w:szCs w:val="24"/>
        </w:rPr>
        <w:t xml:space="preserve">. </w:t>
      </w:r>
      <w:r w:rsidR="00293EC6" w:rsidRPr="000318F9">
        <w:rPr>
          <w:rFonts w:ascii="Times New Roman" w:hAnsi="Times New Roman" w:cs="Times New Roman"/>
          <w:sz w:val="24"/>
          <w:szCs w:val="24"/>
        </w:rPr>
        <w:t>The drug can also cause acute liver and kidney injury hence the need to monitor renal and hepatic functions daily during the time of administration. For patients taking large doses, those with renal insufficiency, and where the drug needs to be administered for a long duration, it is important to assay cyanide levels every six hours. Cyanide toxicity is an important adverse effect of the drug</w:t>
      </w:r>
      <w:r w:rsidR="00F21701">
        <w:rPr>
          <w:rFonts w:ascii="Times New Roman" w:hAnsi="Times New Roman" w:cs="Times New Roman"/>
          <w:sz w:val="24"/>
          <w:szCs w:val="24"/>
        </w:rPr>
        <w:t xml:space="preserve"> (Hottinger et al., 2014)</w:t>
      </w:r>
      <w:r w:rsidR="00293EC6" w:rsidRPr="000318F9">
        <w:rPr>
          <w:rFonts w:ascii="Times New Roman" w:hAnsi="Times New Roman" w:cs="Times New Roman"/>
          <w:sz w:val="24"/>
          <w:szCs w:val="24"/>
        </w:rPr>
        <w:t xml:space="preserve">. Since acidosis is the earliest and most reliable feature of early cyanide toxicity, an arterial blood gas analysis to detect a low pH of acidosis is a reliable means of detecting cyanide toxicity. </w:t>
      </w:r>
    </w:p>
    <w:p w:rsidR="009F1EE1" w:rsidRPr="000318F9" w:rsidRDefault="009F1EE1" w:rsidP="000318F9">
      <w:pPr>
        <w:spacing w:line="480" w:lineRule="auto"/>
        <w:rPr>
          <w:rFonts w:ascii="Times New Roman" w:hAnsi="Times New Roman" w:cs="Times New Roman"/>
          <w:sz w:val="24"/>
          <w:szCs w:val="24"/>
        </w:rPr>
      </w:pPr>
      <w:r w:rsidRPr="000318F9">
        <w:rPr>
          <w:rFonts w:ascii="Times New Roman" w:hAnsi="Times New Roman" w:cs="Times New Roman"/>
          <w:sz w:val="24"/>
          <w:szCs w:val="24"/>
        </w:rPr>
        <w:br w:type="page"/>
      </w:r>
    </w:p>
    <w:p w:rsidR="0085520F" w:rsidRPr="000318F9" w:rsidRDefault="009F1EE1" w:rsidP="000318F9">
      <w:pPr>
        <w:spacing w:after="0" w:line="480" w:lineRule="auto"/>
        <w:jc w:val="center"/>
        <w:rPr>
          <w:rFonts w:ascii="Times New Roman" w:hAnsi="Times New Roman" w:cs="Times New Roman"/>
          <w:sz w:val="24"/>
          <w:szCs w:val="24"/>
        </w:rPr>
      </w:pPr>
      <w:r w:rsidRPr="000318F9">
        <w:rPr>
          <w:rFonts w:ascii="Times New Roman" w:hAnsi="Times New Roman" w:cs="Times New Roman"/>
          <w:sz w:val="24"/>
          <w:szCs w:val="24"/>
        </w:rPr>
        <w:lastRenderedPageBreak/>
        <w:t>References</w:t>
      </w:r>
    </w:p>
    <w:p w:rsidR="000318F9" w:rsidRPr="000318F9" w:rsidRDefault="000318F9" w:rsidP="006737A1">
      <w:pPr>
        <w:spacing w:after="0" w:line="480" w:lineRule="auto"/>
        <w:ind w:left="720" w:hanging="720"/>
        <w:rPr>
          <w:rStyle w:val="doi"/>
          <w:rFonts w:ascii="Times New Roman" w:hAnsi="Times New Roman" w:cs="Times New Roman"/>
          <w:sz w:val="24"/>
          <w:szCs w:val="24"/>
        </w:rPr>
      </w:pPr>
      <w:r w:rsidRPr="000318F9">
        <w:rPr>
          <w:rFonts w:ascii="Times New Roman" w:hAnsi="Times New Roman" w:cs="Times New Roman"/>
          <w:sz w:val="24"/>
          <w:szCs w:val="24"/>
        </w:rPr>
        <w:t xml:space="preserve">Hottinger, D. G., Beebe, D. S., Kozhimannil, T., Prielipp, R. C., &amp; Belani, K. G. (2014). Sodium nitroprusside in 2014: a clinical concepts review. </w:t>
      </w:r>
      <w:r w:rsidRPr="000318F9">
        <w:rPr>
          <w:rFonts w:ascii="Times New Roman" w:hAnsi="Times New Roman" w:cs="Times New Roman"/>
          <w:i/>
          <w:iCs/>
          <w:sz w:val="24"/>
          <w:szCs w:val="24"/>
        </w:rPr>
        <w:t>Journal of anaesthesiology, clinical pharmacology</w:t>
      </w:r>
      <w:r w:rsidRPr="000318F9">
        <w:rPr>
          <w:rFonts w:ascii="Times New Roman" w:hAnsi="Times New Roman" w:cs="Times New Roman"/>
          <w:sz w:val="24"/>
          <w:szCs w:val="24"/>
        </w:rPr>
        <w:t xml:space="preserve">, </w:t>
      </w:r>
      <w:r w:rsidRPr="000318F9">
        <w:rPr>
          <w:rFonts w:ascii="Times New Roman" w:hAnsi="Times New Roman" w:cs="Times New Roman"/>
          <w:i/>
          <w:iCs/>
          <w:sz w:val="24"/>
          <w:szCs w:val="24"/>
        </w:rPr>
        <w:t>30</w:t>
      </w:r>
      <w:r w:rsidRPr="000318F9">
        <w:rPr>
          <w:rFonts w:ascii="Times New Roman" w:hAnsi="Times New Roman" w:cs="Times New Roman"/>
          <w:sz w:val="24"/>
          <w:szCs w:val="24"/>
        </w:rPr>
        <w:t>(4), 462.</w:t>
      </w:r>
      <w:r w:rsidRPr="000318F9">
        <w:rPr>
          <w:rFonts w:ascii="Times New Roman" w:hAnsi="Times New Roman" w:cs="Times New Roman"/>
          <w:sz w:val="24"/>
          <w:szCs w:val="24"/>
        </w:rPr>
        <w:t xml:space="preserve"> </w:t>
      </w:r>
      <w:r w:rsidRPr="000318F9">
        <w:rPr>
          <w:rStyle w:val="doi"/>
          <w:rFonts w:ascii="Times New Roman" w:hAnsi="Times New Roman" w:cs="Times New Roman"/>
          <w:sz w:val="24"/>
          <w:szCs w:val="24"/>
        </w:rPr>
        <w:t>doi:  [</w:t>
      </w:r>
      <w:hyperlink r:id="rId6" w:tgtFrame="pmc_ext" w:history="1">
        <w:r w:rsidRPr="000318F9">
          <w:rPr>
            <w:rStyle w:val="Hyperlink"/>
            <w:rFonts w:ascii="Times New Roman" w:hAnsi="Times New Roman" w:cs="Times New Roman"/>
            <w:sz w:val="24"/>
            <w:szCs w:val="24"/>
          </w:rPr>
          <w:t>10.4103/0970-9185.142799</w:t>
        </w:r>
      </w:hyperlink>
      <w:r w:rsidRPr="000318F9">
        <w:rPr>
          <w:rStyle w:val="doi"/>
          <w:rFonts w:ascii="Times New Roman" w:hAnsi="Times New Roman" w:cs="Times New Roman"/>
          <w:sz w:val="24"/>
          <w:szCs w:val="24"/>
        </w:rPr>
        <w:t>]</w:t>
      </w:r>
    </w:p>
    <w:tbl>
      <w:tblPr>
        <w:tblW w:w="0" w:type="auto"/>
        <w:tblCellSpacing w:w="0" w:type="dxa"/>
        <w:tblCellMar>
          <w:left w:w="0" w:type="dxa"/>
          <w:right w:w="0" w:type="dxa"/>
        </w:tblCellMar>
        <w:tblLook w:val="04A0" w:firstRow="1" w:lastRow="0" w:firstColumn="1" w:lastColumn="0" w:noHBand="0" w:noVBand="1"/>
      </w:tblPr>
      <w:tblGrid>
        <w:gridCol w:w="9354"/>
        <w:gridCol w:w="6"/>
      </w:tblGrid>
      <w:tr w:rsidR="000318F9" w:rsidRPr="000318F9" w:rsidTr="000318F9">
        <w:trPr>
          <w:tblCellSpacing w:w="0" w:type="dxa"/>
        </w:trPr>
        <w:tc>
          <w:tcPr>
            <w:tcW w:w="0" w:type="auto"/>
            <w:vAlign w:val="center"/>
            <w:hideMark/>
          </w:tcPr>
          <w:p w:rsidR="000318F9" w:rsidRPr="000318F9" w:rsidRDefault="000318F9" w:rsidP="006737A1">
            <w:pPr>
              <w:spacing w:after="0" w:line="480" w:lineRule="auto"/>
              <w:ind w:left="720" w:hanging="720"/>
              <w:rPr>
                <w:rFonts w:ascii="Times New Roman" w:eastAsia="Times New Roman" w:hAnsi="Times New Roman" w:cs="Times New Roman"/>
                <w:sz w:val="24"/>
                <w:szCs w:val="24"/>
              </w:rPr>
            </w:pPr>
            <w:r w:rsidRPr="000318F9">
              <w:rPr>
                <w:rFonts w:ascii="Times New Roman" w:hAnsi="Times New Roman" w:cs="Times New Roman"/>
                <w:sz w:val="24"/>
                <w:szCs w:val="24"/>
              </w:rPr>
              <w:t xml:space="preserve">Lilley, L. L., Collins, S. R., Snyder, J. S., &amp; Savoca, D. (2014). </w:t>
            </w:r>
            <w:r w:rsidRPr="000318F9">
              <w:rPr>
                <w:rFonts w:ascii="Times New Roman" w:hAnsi="Times New Roman" w:cs="Times New Roman"/>
                <w:i/>
                <w:iCs/>
                <w:sz w:val="24"/>
                <w:szCs w:val="24"/>
              </w:rPr>
              <w:t>Pharmacology and the nursing process</w:t>
            </w:r>
            <w:r w:rsidRPr="000318F9">
              <w:rPr>
                <w:rFonts w:ascii="Times New Roman" w:hAnsi="Times New Roman" w:cs="Times New Roman"/>
                <w:sz w:val="24"/>
                <w:szCs w:val="24"/>
              </w:rPr>
              <w:t>.</w:t>
            </w:r>
            <w:r w:rsidRPr="000318F9">
              <w:rPr>
                <w:rFonts w:ascii="Times New Roman" w:hAnsi="Times New Roman" w:cs="Times New Roman"/>
                <w:sz w:val="24"/>
                <w:szCs w:val="24"/>
              </w:rPr>
              <w:t xml:space="preserve"> St. Louis, Missouri: Elsevier. </w:t>
            </w:r>
          </w:p>
        </w:tc>
        <w:tc>
          <w:tcPr>
            <w:tcW w:w="0" w:type="auto"/>
            <w:vAlign w:val="center"/>
          </w:tcPr>
          <w:p w:rsidR="000318F9" w:rsidRPr="000318F9" w:rsidRDefault="000318F9" w:rsidP="006737A1">
            <w:pPr>
              <w:spacing w:after="0" w:line="480" w:lineRule="auto"/>
              <w:ind w:left="720" w:hanging="720"/>
              <w:rPr>
                <w:rFonts w:ascii="Times New Roman" w:eastAsia="Times New Roman" w:hAnsi="Times New Roman" w:cs="Times New Roman"/>
                <w:sz w:val="24"/>
                <w:szCs w:val="24"/>
              </w:rPr>
            </w:pPr>
          </w:p>
        </w:tc>
      </w:tr>
    </w:tbl>
    <w:p w:rsidR="000318F9" w:rsidRPr="000318F9" w:rsidRDefault="000318F9" w:rsidP="000318F9">
      <w:pPr>
        <w:spacing w:after="0" w:line="480" w:lineRule="auto"/>
        <w:rPr>
          <w:rFonts w:ascii="Times New Roman" w:hAnsi="Times New Roman" w:cs="Times New Roman"/>
          <w:sz w:val="24"/>
          <w:szCs w:val="24"/>
        </w:rPr>
      </w:pPr>
    </w:p>
    <w:p w:rsidR="009F1EE1" w:rsidRPr="000318F9" w:rsidRDefault="009F1EE1" w:rsidP="000318F9">
      <w:pPr>
        <w:spacing w:after="0" w:line="480" w:lineRule="auto"/>
        <w:jc w:val="center"/>
        <w:rPr>
          <w:rFonts w:ascii="Times New Roman" w:hAnsi="Times New Roman" w:cs="Times New Roman"/>
          <w:sz w:val="24"/>
          <w:szCs w:val="24"/>
        </w:rPr>
      </w:pPr>
    </w:p>
    <w:p w:rsidR="00B55281" w:rsidRPr="000318F9" w:rsidRDefault="00B55281" w:rsidP="000318F9">
      <w:pPr>
        <w:spacing w:after="0" w:line="480" w:lineRule="auto"/>
        <w:jc w:val="center"/>
        <w:rPr>
          <w:rFonts w:ascii="Times New Roman" w:hAnsi="Times New Roman" w:cs="Times New Roman"/>
          <w:sz w:val="24"/>
          <w:szCs w:val="24"/>
        </w:rPr>
      </w:pPr>
    </w:p>
    <w:sectPr w:rsidR="00B55281" w:rsidRPr="000318F9" w:rsidSect="004753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B9B" w:rsidRDefault="00536B9B" w:rsidP="009F1EE1">
      <w:pPr>
        <w:spacing w:after="0" w:line="240" w:lineRule="auto"/>
      </w:pPr>
      <w:r>
        <w:separator/>
      </w:r>
    </w:p>
  </w:endnote>
  <w:endnote w:type="continuationSeparator" w:id="0">
    <w:p w:rsidR="00536B9B" w:rsidRDefault="00536B9B" w:rsidP="009F1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B9B" w:rsidRDefault="00536B9B" w:rsidP="009F1EE1">
      <w:pPr>
        <w:spacing w:after="0" w:line="240" w:lineRule="auto"/>
      </w:pPr>
      <w:r>
        <w:separator/>
      </w:r>
    </w:p>
  </w:footnote>
  <w:footnote w:type="continuationSeparator" w:id="0">
    <w:p w:rsidR="00536B9B" w:rsidRDefault="00536B9B" w:rsidP="009F1E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7823196"/>
      <w:docPartObj>
        <w:docPartGallery w:val="Page Numbers (Top of Page)"/>
        <w:docPartUnique/>
      </w:docPartObj>
    </w:sdtPr>
    <w:sdtEndPr>
      <w:rPr>
        <w:rFonts w:ascii="Times New Roman" w:hAnsi="Times New Roman" w:cs="Times New Roman"/>
        <w:noProof/>
        <w:sz w:val="24"/>
        <w:szCs w:val="24"/>
      </w:rPr>
    </w:sdtEndPr>
    <w:sdtContent>
      <w:p w:rsidR="004753B8" w:rsidRPr="004753B8" w:rsidRDefault="004753B8" w:rsidP="004753B8">
        <w:pPr>
          <w:pStyle w:val="Header"/>
          <w:spacing w:line="480" w:lineRule="auto"/>
          <w:jc w:val="right"/>
          <w:rPr>
            <w:rFonts w:ascii="Times New Roman" w:hAnsi="Times New Roman" w:cs="Times New Roman"/>
            <w:sz w:val="24"/>
            <w:szCs w:val="24"/>
          </w:rPr>
        </w:pPr>
        <w:r w:rsidRPr="004753B8">
          <w:rPr>
            <w:rFonts w:ascii="Times New Roman" w:hAnsi="Times New Roman" w:cs="Times New Roman"/>
            <w:sz w:val="24"/>
            <w:szCs w:val="24"/>
          </w:rPr>
          <w:t>NITROPRUSSIDE</w:t>
        </w:r>
        <w:r>
          <w:rPr>
            <w:rFonts w:ascii="Times New Roman" w:hAnsi="Times New Roman" w:cs="Times New Roman"/>
            <w:sz w:val="24"/>
            <w:szCs w:val="24"/>
          </w:rPr>
          <w:tab/>
        </w:r>
        <w:r>
          <w:rPr>
            <w:rFonts w:ascii="Times New Roman" w:hAnsi="Times New Roman" w:cs="Times New Roman"/>
            <w:sz w:val="24"/>
            <w:szCs w:val="24"/>
          </w:rPr>
          <w:tab/>
        </w:r>
        <w:r w:rsidRPr="004753B8">
          <w:rPr>
            <w:rFonts w:ascii="Times New Roman" w:hAnsi="Times New Roman" w:cs="Times New Roman"/>
            <w:sz w:val="24"/>
            <w:szCs w:val="24"/>
          </w:rPr>
          <w:t xml:space="preserve"> </w:t>
        </w:r>
        <w:r w:rsidRPr="004753B8">
          <w:rPr>
            <w:rFonts w:ascii="Times New Roman" w:hAnsi="Times New Roman" w:cs="Times New Roman"/>
            <w:sz w:val="24"/>
            <w:szCs w:val="24"/>
          </w:rPr>
          <w:fldChar w:fldCharType="begin"/>
        </w:r>
        <w:r w:rsidRPr="004753B8">
          <w:rPr>
            <w:rFonts w:ascii="Times New Roman" w:hAnsi="Times New Roman" w:cs="Times New Roman"/>
            <w:sz w:val="24"/>
            <w:szCs w:val="24"/>
          </w:rPr>
          <w:instrText xml:space="preserve"> PAGE   \* MERGEFORMAT </w:instrText>
        </w:r>
        <w:r w:rsidRPr="004753B8">
          <w:rPr>
            <w:rFonts w:ascii="Times New Roman" w:hAnsi="Times New Roman" w:cs="Times New Roman"/>
            <w:sz w:val="24"/>
            <w:szCs w:val="24"/>
          </w:rPr>
          <w:fldChar w:fldCharType="separate"/>
        </w:r>
        <w:r w:rsidR="003D02AE">
          <w:rPr>
            <w:rFonts w:ascii="Times New Roman" w:hAnsi="Times New Roman" w:cs="Times New Roman"/>
            <w:noProof/>
            <w:sz w:val="24"/>
            <w:szCs w:val="24"/>
          </w:rPr>
          <w:t>4</w:t>
        </w:r>
        <w:r w:rsidRPr="004753B8">
          <w:rPr>
            <w:rFonts w:ascii="Times New Roman" w:hAnsi="Times New Roman" w:cs="Times New Roman"/>
            <w:noProof/>
            <w:sz w:val="24"/>
            <w:szCs w:val="24"/>
          </w:rPr>
          <w:fldChar w:fldCharType="end"/>
        </w:r>
      </w:p>
    </w:sdtContent>
  </w:sdt>
  <w:p w:rsidR="009F1EE1" w:rsidRDefault="009F1E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B94" w:rsidRPr="00926B94" w:rsidRDefault="00926B94" w:rsidP="00926B94">
    <w:pPr>
      <w:pStyle w:val="Header"/>
      <w:spacing w:line="480" w:lineRule="auto"/>
      <w:jc w:val="right"/>
      <w:rPr>
        <w:rFonts w:ascii="Times New Roman" w:hAnsi="Times New Roman" w:cs="Times New Roman"/>
        <w:sz w:val="24"/>
        <w:szCs w:val="24"/>
      </w:rPr>
    </w:pPr>
    <w:r w:rsidRPr="00926B94">
      <w:rPr>
        <w:rFonts w:ascii="Times New Roman" w:hAnsi="Times New Roman" w:cs="Times New Roman"/>
        <w:sz w:val="24"/>
        <w:szCs w:val="24"/>
      </w:rPr>
      <w:t xml:space="preserve">Running head: </w:t>
    </w:r>
    <w:r w:rsidRPr="00926B94">
      <w:rPr>
        <w:rFonts w:ascii="Times New Roman" w:hAnsi="Times New Roman" w:cs="Times New Roman"/>
        <w:sz w:val="24"/>
        <w:szCs w:val="24"/>
      </w:rPr>
      <w:t>NITROPRUSSIDE</w:t>
    </w:r>
    <w:r>
      <w:rPr>
        <w:rFonts w:ascii="Times New Roman" w:hAnsi="Times New Roman" w:cs="Times New Roman"/>
        <w:sz w:val="24"/>
        <w:szCs w:val="24"/>
      </w:rPr>
      <w:tab/>
    </w:r>
    <w:r>
      <w:rPr>
        <w:rFonts w:ascii="Times New Roman" w:hAnsi="Times New Roman" w:cs="Times New Roman"/>
        <w:sz w:val="24"/>
        <w:szCs w:val="24"/>
      </w:rPr>
      <w:tab/>
    </w:r>
    <w:r w:rsidRPr="00926B94">
      <w:rPr>
        <w:rFonts w:ascii="Times New Roman" w:hAnsi="Times New Roman" w:cs="Times New Roman"/>
        <w:sz w:val="24"/>
        <w:szCs w:val="24"/>
      </w:rPr>
      <w:t xml:space="preserve"> </w:t>
    </w:r>
    <w:sdt>
      <w:sdtPr>
        <w:rPr>
          <w:rFonts w:ascii="Times New Roman" w:hAnsi="Times New Roman" w:cs="Times New Roman"/>
          <w:sz w:val="24"/>
          <w:szCs w:val="24"/>
        </w:rPr>
        <w:id w:val="-1732378134"/>
        <w:docPartObj>
          <w:docPartGallery w:val="Page Numbers (Top of Page)"/>
          <w:docPartUnique/>
        </w:docPartObj>
      </w:sdtPr>
      <w:sdtEndPr>
        <w:rPr>
          <w:noProof/>
        </w:rPr>
      </w:sdtEndPr>
      <w:sdtContent>
        <w:r w:rsidRPr="00926B94">
          <w:rPr>
            <w:rFonts w:ascii="Times New Roman" w:hAnsi="Times New Roman" w:cs="Times New Roman"/>
            <w:sz w:val="24"/>
            <w:szCs w:val="24"/>
          </w:rPr>
          <w:fldChar w:fldCharType="begin"/>
        </w:r>
        <w:r w:rsidRPr="00926B94">
          <w:rPr>
            <w:rFonts w:ascii="Times New Roman" w:hAnsi="Times New Roman" w:cs="Times New Roman"/>
            <w:sz w:val="24"/>
            <w:szCs w:val="24"/>
          </w:rPr>
          <w:instrText xml:space="preserve"> PAGE   \* MERGEFORMAT </w:instrText>
        </w:r>
        <w:r w:rsidRPr="00926B94">
          <w:rPr>
            <w:rFonts w:ascii="Times New Roman" w:hAnsi="Times New Roman" w:cs="Times New Roman"/>
            <w:sz w:val="24"/>
            <w:szCs w:val="24"/>
          </w:rPr>
          <w:fldChar w:fldCharType="separate"/>
        </w:r>
        <w:r w:rsidR="000318F9">
          <w:rPr>
            <w:rFonts w:ascii="Times New Roman" w:hAnsi="Times New Roman" w:cs="Times New Roman"/>
            <w:noProof/>
            <w:sz w:val="24"/>
            <w:szCs w:val="24"/>
          </w:rPr>
          <w:t>1</w:t>
        </w:r>
        <w:r w:rsidRPr="00926B94">
          <w:rPr>
            <w:rFonts w:ascii="Times New Roman" w:hAnsi="Times New Roman" w:cs="Times New Roman"/>
            <w:noProof/>
            <w:sz w:val="24"/>
            <w:szCs w:val="24"/>
          </w:rPr>
          <w:fldChar w:fldCharType="end"/>
        </w:r>
      </w:sdtContent>
    </w:sdt>
  </w:p>
  <w:p w:rsidR="009F1EE1" w:rsidRDefault="009F1E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281"/>
    <w:rsid w:val="000318F9"/>
    <w:rsid w:val="001F32FF"/>
    <w:rsid w:val="00293EC6"/>
    <w:rsid w:val="002C00E2"/>
    <w:rsid w:val="003D02AE"/>
    <w:rsid w:val="004753B8"/>
    <w:rsid w:val="00536B9B"/>
    <w:rsid w:val="005F7771"/>
    <w:rsid w:val="0063569B"/>
    <w:rsid w:val="006737A1"/>
    <w:rsid w:val="008435C8"/>
    <w:rsid w:val="0085520F"/>
    <w:rsid w:val="00892A8B"/>
    <w:rsid w:val="008B7E21"/>
    <w:rsid w:val="0091621A"/>
    <w:rsid w:val="00926B94"/>
    <w:rsid w:val="00972F6D"/>
    <w:rsid w:val="009F1EE1"/>
    <w:rsid w:val="00B55281"/>
    <w:rsid w:val="00D60B95"/>
    <w:rsid w:val="00E30D70"/>
    <w:rsid w:val="00EF2D77"/>
    <w:rsid w:val="00F21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8755BA-DCBE-49D8-81C8-E0722038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E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EE1"/>
  </w:style>
  <w:style w:type="paragraph" w:styleId="Footer">
    <w:name w:val="footer"/>
    <w:basedOn w:val="Normal"/>
    <w:link w:val="FooterChar"/>
    <w:uiPriority w:val="99"/>
    <w:unhideWhenUsed/>
    <w:rsid w:val="009F1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EE1"/>
  </w:style>
  <w:style w:type="character" w:customStyle="1" w:styleId="doi">
    <w:name w:val="doi"/>
    <w:basedOn w:val="DefaultParagraphFont"/>
    <w:rsid w:val="000318F9"/>
  </w:style>
  <w:style w:type="character" w:styleId="Hyperlink">
    <w:name w:val="Hyperlink"/>
    <w:basedOn w:val="DefaultParagraphFont"/>
    <w:uiPriority w:val="99"/>
    <w:semiHidden/>
    <w:unhideWhenUsed/>
    <w:rsid w:val="000318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353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4103%2F0970-9185.14279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2018-11-27T05:58:00Z</dcterms:created>
  <dcterms:modified xsi:type="dcterms:W3CDTF">2018-11-27T06:55:00Z</dcterms:modified>
</cp:coreProperties>
</file>