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0355" w:rsidRDefault="00AC0355" w:rsidP="00AC0355">
      <w:pPr>
        <w:spacing w:line="480" w:lineRule="auto"/>
        <w:jc w:val="center"/>
        <w:rPr>
          <w:rFonts w:ascii="Times New Roman" w:hAnsi="Times New Roman" w:cs="Times New Roman"/>
          <w:sz w:val="24"/>
          <w:szCs w:val="24"/>
        </w:rPr>
      </w:pPr>
    </w:p>
    <w:p w:rsidR="00AC0355" w:rsidRDefault="00AC0355" w:rsidP="00AC0355">
      <w:pPr>
        <w:spacing w:line="480" w:lineRule="auto"/>
        <w:jc w:val="center"/>
        <w:rPr>
          <w:rFonts w:ascii="Times New Roman" w:hAnsi="Times New Roman" w:cs="Times New Roman"/>
          <w:sz w:val="24"/>
          <w:szCs w:val="24"/>
        </w:rPr>
      </w:pPr>
    </w:p>
    <w:p w:rsidR="00AC0355" w:rsidRDefault="00AC0355" w:rsidP="00AC0355">
      <w:pPr>
        <w:spacing w:line="480" w:lineRule="auto"/>
        <w:jc w:val="center"/>
        <w:rPr>
          <w:rFonts w:ascii="Times New Roman" w:hAnsi="Times New Roman" w:cs="Times New Roman"/>
          <w:sz w:val="24"/>
          <w:szCs w:val="24"/>
        </w:rPr>
      </w:pPr>
    </w:p>
    <w:p w:rsidR="00AC0355" w:rsidRDefault="00AC0355" w:rsidP="00AC0355">
      <w:pPr>
        <w:spacing w:line="480" w:lineRule="auto"/>
        <w:jc w:val="center"/>
        <w:rPr>
          <w:rFonts w:ascii="Times New Roman" w:hAnsi="Times New Roman" w:cs="Times New Roman"/>
          <w:sz w:val="24"/>
          <w:szCs w:val="24"/>
        </w:rPr>
      </w:pPr>
    </w:p>
    <w:p w:rsidR="00AC0355" w:rsidRDefault="00AC0355" w:rsidP="006833C3">
      <w:pPr>
        <w:spacing w:line="480" w:lineRule="auto"/>
        <w:rPr>
          <w:rFonts w:ascii="Times New Roman" w:hAnsi="Times New Roman" w:cs="Times New Roman"/>
          <w:sz w:val="24"/>
          <w:szCs w:val="24"/>
        </w:rPr>
      </w:pPr>
    </w:p>
    <w:p w:rsidR="002D77A8" w:rsidRPr="00AC0355" w:rsidRDefault="002D77A8" w:rsidP="00AC0355">
      <w:pPr>
        <w:spacing w:line="480" w:lineRule="auto"/>
        <w:jc w:val="center"/>
        <w:rPr>
          <w:rFonts w:ascii="Times New Roman" w:hAnsi="Times New Roman" w:cs="Times New Roman"/>
          <w:sz w:val="24"/>
          <w:szCs w:val="24"/>
        </w:rPr>
      </w:pPr>
      <w:r w:rsidRPr="00AC0355">
        <w:rPr>
          <w:rFonts w:ascii="Times New Roman" w:hAnsi="Times New Roman" w:cs="Times New Roman"/>
          <w:sz w:val="24"/>
          <w:szCs w:val="24"/>
        </w:rPr>
        <w:t>Norepinephrine</w:t>
      </w:r>
    </w:p>
    <w:p w:rsidR="00AC0355" w:rsidRPr="00AC0355" w:rsidRDefault="00AC0355" w:rsidP="00AC0355">
      <w:pPr>
        <w:spacing w:line="480" w:lineRule="auto"/>
        <w:jc w:val="center"/>
        <w:rPr>
          <w:rFonts w:ascii="Times New Roman" w:hAnsi="Times New Roman" w:cs="Times New Roman"/>
          <w:sz w:val="24"/>
          <w:szCs w:val="24"/>
        </w:rPr>
      </w:pPr>
      <w:r w:rsidRPr="00AC0355">
        <w:rPr>
          <w:rFonts w:ascii="Times New Roman" w:hAnsi="Times New Roman" w:cs="Times New Roman"/>
          <w:sz w:val="24"/>
          <w:szCs w:val="24"/>
        </w:rPr>
        <w:t>Name:</w:t>
      </w:r>
    </w:p>
    <w:p w:rsidR="00AC0355" w:rsidRPr="00AC0355" w:rsidRDefault="00AC0355" w:rsidP="00AC0355">
      <w:pPr>
        <w:spacing w:line="480" w:lineRule="auto"/>
        <w:jc w:val="center"/>
        <w:rPr>
          <w:rFonts w:ascii="Times New Roman" w:hAnsi="Times New Roman" w:cs="Times New Roman"/>
          <w:sz w:val="24"/>
          <w:szCs w:val="24"/>
        </w:rPr>
      </w:pPr>
      <w:r w:rsidRPr="00AC0355">
        <w:rPr>
          <w:rFonts w:ascii="Times New Roman" w:hAnsi="Times New Roman" w:cs="Times New Roman"/>
          <w:sz w:val="24"/>
          <w:szCs w:val="24"/>
        </w:rPr>
        <w:t>Institutional Affiliation</w:t>
      </w:r>
    </w:p>
    <w:p w:rsidR="00AC0355" w:rsidRPr="00AC0355" w:rsidRDefault="00AC0355" w:rsidP="00AC0355">
      <w:pPr>
        <w:spacing w:line="480" w:lineRule="auto"/>
        <w:jc w:val="center"/>
        <w:rPr>
          <w:rFonts w:ascii="Times New Roman" w:hAnsi="Times New Roman" w:cs="Times New Roman"/>
          <w:sz w:val="24"/>
          <w:szCs w:val="24"/>
        </w:rPr>
      </w:pPr>
      <w:r w:rsidRPr="00AC0355">
        <w:rPr>
          <w:rFonts w:ascii="Times New Roman" w:hAnsi="Times New Roman" w:cs="Times New Roman"/>
          <w:sz w:val="24"/>
          <w:szCs w:val="24"/>
        </w:rPr>
        <w:t>Student Number</w:t>
      </w:r>
    </w:p>
    <w:p w:rsidR="00AC0355" w:rsidRPr="00AC0355" w:rsidRDefault="00AC0355" w:rsidP="00AC0355">
      <w:pPr>
        <w:spacing w:line="480" w:lineRule="auto"/>
        <w:jc w:val="center"/>
        <w:rPr>
          <w:rFonts w:ascii="Times New Roman" w:hAnsi="Times New Roman" w:cs="Times New Roman"/>
          <w:sz w:val="24"/>
          <w:szCs w:val="24"/>
        </w:rPr>
      </w:pPr>
    </w:p>
    <w:p w:rsidR="00AC0355" w:rsidRDefault="00AC0355" w:rsidP="002D77A8"/>
    <w:p w:rsidR="00AC0355" w:rsidRDefault="00AC0355" w:rsidP="002D77A8"/>
    <w:p w:rsidR="00AC0355" w:rsidRDefault="00AC0355" w:rsidP="002D77A8"/>
    <w:p w:rsidR="00AC0355" w:rsidRDefault="00AC0355" w:rsidP="002D77A8"/>
    <w:p w:rsidR="00AC0355" w:rsidRDefault="00AC0355" w:rsidP="002D77A8"/>
    <w:p w:rsidR="00AC0355" w:rsidRDefault="00AC0355" w:rsidP="002D77A8"/>
    <w:p w:rsidR="006833C3" w:rsidRDefault="006833C3" w:rsidP="002D77A8"/>
    <w:p w:rsidR="006833C3" w:rsidRDefault="006833C3" w:rsidP="002D77A8"/>
    <w:p w:rsidR="006833C3" w:rsidRDefault="006833C3" w:rsidP="002D77A8"/>
    <w:p w:rsidR="006833C3" w:rsidRDefault="006833C3" w:rsidP="002D77A8"/>
    <w:p w:rsidR="006833C3" w:rsidRDefault="006833C3" w:rsidP="002D77A8"/>
    <w:p w:rsidR="002D77A8" w:rsidRPr="00AC0355" w:rsidRDefault="002D77A8" w:rsidP="00AC0355">
      <w:pPr>
        <w:spacing w:line="480" w:lineRule="auto"/>
        <w:ind w:firstLine="720"/>
        <w:jc w:val="center"/>
        <w:rPr>
          <w:rFonts w:ascii="Times New Roman" w:hAnsi="Times New Roman" w:cs="Times New Roman"/>
          <w:sz w:val="24"/>
          <w:szCs w:val="24"/>
        </w:rPr>
      </w:pPr>
      <w:bookmarkStart w:id="0" w:name="_GoBack"/>
      <w:bookmarkEnd w:id="0"/>
      <w:r w:rsidRPr="00AC0355">
        <w:rPr>
          <w:rFonts w:ascii="Times New Roman" w:hAnsi="Times New Roman" w:cs="Times New Roman"/>
          <w:sz w:val="24"/>
          <w:szCs w:val="24"/>
        </w:rPr>
        <w:lastRenderedPageBreak/>
        <w:t>Patient Overview</w:t>
      </w:r>
    </w:p>
    <w:p w:rsidR="002D77A8" w:rsidRPr="00AC0355" w:rsidRDefault="002D77A8" w:rsidP="00AC0355">
      <w:pPr>
        <w:spacing w:line="480" w:lineRule="auto"/>
        <w:ind w:firstLine="720"/>
        <w:rPr>
          <w:rFonts w:ascii="Times New Roman" w:hAnsi="Times New Roman" w:cs="Times New Roman"/>
          <w:sz w:val="24"/>
          <w:szCs w:val="24"/>
        </w:rPr>
      </w:pPr>
      <w:r w:rsidRPr="00AC0355">
        <w:rPr>
          <w:rFonts w:ascii="Times New Roman" w:hAnsi="Times New Roman" w:cs="Times New Roman"/>
          <w:sz w:val="24"/>
          <w:szCs w:val="24"/>
        </w:rPr>
        <w:t xml:space="preserve">Huang Mei Lan is a 44-year old woman who lives alone in the major West coast city. She has been living alone for the last 15 years after she moved to America from China where she left her family. She works in a neighboring sewing shop until 2 years ago where she was diagnosed with septic shock. She is presented in the emergency room to be injected with fluid and have pressor support in the intensive care unit. From her history, she revealed that this was the fourth time and in between, she has been having asymptomatic periods of the condition. Even though she responded well to medications, she reported having been treated with hypertension and hypercholesterolemia due to her heavy intake of alcohol and mild cognitive impairment.  In the emergency room, she looked drowsy and confused and was peripherally cold with cyanosis. Her blood pressure was 75/50mmHg and with 125 beats per minute heart rate. The two priority nursing diagnosis that has been applied to her condition is immunological workup of her decreased cardiac output and fluid volume deficit.  </w:t>
      </w:r>
    </w:p>
    <w:p w:rsidR="002D77A8" w:rsidRPr="00AC0355" w:rsidRDefault="002D77A8" w:rsidP="00AC0355">
      <w:pPr>
        <w:spacing w:line="480" w:lineRule="auto"/>
        <w:ind w:firstLine="720"/>
        <w:jc w:val="center"/>
        <w:rPr>
          <w:rFonts w:ascii="Times New Roman" w:hAnsi="Times New Roman" w:cs="Times New Roman"/>
          <w:b/>
          <w:sz w:val="24"/>
          <w:szCs w:val="24"/>
        </w:rPr>
      </w:pPr>
      <w:r w:rsidRPr="00AC0355">
        <w:rPr>
          <w:rFonts w:ascii="Times New Roman" w:hAnsi="Times New Roman" w:cs="Times New Roman"/>
          <w:b/>
          <w:sz w:val="24"/>
          <w:szCs w:val="24"/>
        </w:rPr>
        <w:t>Medication Overview</w:t>
      </w:r>
    </w:p>
    <w:p w:rsidR="002D77A8" w:rsidRPr="00AC0355" w:rsidRDefault="002D77A8" w:rsidP="00AC0355">
      <w:pPr>
        <w:spacing w:line="480" w:lineRule="auto"/>
        <w:ind w:firstLine="720"/>
        <w:rPr>
          <w:rFonts w:ascii="Times New Roman" w:hAnsi="Times New Roman" w:cs="Times New Roman"/>
          <w:sz w:val="24"/>
          <w:szCs w:val="24"/>
        </w:rPr>
      </w:pPr>
      <w:r w:rsidRPr="00AC0355">
        <w:rPr>
          <w:rFonts w:ascii="Times New Roman" w:hAnsi="Times New Roman" w:cs="Times New Roman"/>
          <w:sz w:val="24"/>
          <w:szCs w:val="24"/>
        </w:rPr>
        <w:t>Huang Mei Lan has septic shock and she carries a death risk of 25-40% if not admitted to the hospital. Due to this, she is prescribed is norepinephrine which belongs to a medication class of catecholamine (</w:t>
      </w:r>
      <w:proofErr w:type="spellStart"/>
      <w:r w:rsidRPr="00AC0355">
        <w:rPr>
          <w:rFonts w:ascii="Times New Roman" w:hAnsi="Times New Roman" w:cs="Times New Roman"/>
          <w:sz w:val="24"/>
          <w:szCs w:val="24"/>
        </w:rPr>
        <w:t>Paukert</w:t>
      </w:r>
      <w:proofErr w:type="spellEnd"/>
      <w:r w:rsidRPr="00AC0355">
        <w:rPr>
          <w:rFonts w:ascii="Times New Roman" w:hAnsi="Times New Roman" w:cs="Times New Roman"/>
          <w:sz w:val="24"/>
          <w:szCs w:val="24"/>
        </w:rPr>
        <w:t xml:space="preserve">, et al., 2014). It is an adjunctive treatment of cardiac arrest and profound hypotension. The route of administration is through IV infusion into the large vein and its recommended dosing guidelines require that one to initially give between 2ml to 3ml per minute. Then the flow rate is adjusted until blood pressure is brought to normal between 80-100mmHg and tissue perfusion is maintained. The usual dosage can be maintained between 0.5ml to 1ml per minute but it can be withdrawn depending on the response.  Norepinephrine is </w:t>
      </w:r>
      <w:r w:rsidRPr="00AC0355">
        <w:rPr>
          <w:rFonts w:ascii="Times New Roman" w:hAnsi="Times New Roman" w:cs="Times New Roman"/>
          <w:sz w:val="24"/>
          <w:szCs w:val="24"/>
        </w:rPr>
        <w:lastRenderedPageBreak/>
        <w:t xml:space="preserve">associated with various side effects such as ischemic injury, reflex bradycardia, arrhythmias, anxiety, headaches; difficulties in breathing and long-term use can cause volume depletion.  The drug is contraindicated in hypotension as a result of deficits in blood volume. Also, it is contraindicated in peripheral vascular thrombosis, profound hypoxia, and halothane anesthesia. </w:t>
      </w:r>
    </w:p>
    <w:p w:rsidR="002D77A8" w:rsidRPr="00AC0355" w:rsidRDefault="002D77A8" w:rsidP="00AC0355">
      <w:pPr>
        <w:spacing w:line="480" w:lineRule="auto"/>
        <w:ind w:firstLine="720"/>
        <w:jc w:val="center"/>
        <w:rPr>
          <w:rFonts w:ascii="Times New Roman" w:hAnsi="Times New Roman" w:cs="Times New Roman"/>
          <w:b/>
          <w:sz w:val="24"/>
          <w:szCs w:val="24"/>
        </w:rPr>
      </w:pPr>
      <w:r w:rsidRPr="00AC0355">
        <w:rPr>
          <w:rFonts w:ascii="Times New Roman" w:hAnsi="Times New Roman" w:cs="Times New Roman"/>
          <w:b/>
          <w:sz w:val="24"/>
          <w:szCs w:val="24"/>
        </w:rPr>
        <w:t>Nursing Implications</w:t>
      </w:r>
    </w:p>
    <w:p w:rsidR="002D77A8" w:rsidRPr="00AC0355" w:rsidRDefault="002D77A8" w:rsidP="00AC0355">
      <w:pPr>
        <w:spacing w:line="480" w:lineRule="auto"/>
        <w:ind w:firstLine="720"/>
        <w:rPr>
          <w:rFonts w:ascii="Times New Roman" w:hAnsi="Times New Roman" w:cs="Times New Roman"/>
          <w:sz w:val="24"/>
          <w:szCs w:val="24"/>
        </w:rPr>
      </w:pPr>
      <w:r w:rsidRPr="00AC0355">
        <w:rPr>
          <w:rFonts w:ascii="Times New Roman" w:hAnsi="Times New Roman" w:cs="Times New Roman"/>
          <w:sz w:val="24"/>
          <w:szCs w:val="24"/>
        </w:rPr>
        <w:t xml:space="preserve">Nurses have a duty to carry to patients receiving norepinephrine. Before administration of norepinephrine, nurses should access complete medical history by assessing the drug history of the patient, any interaction that has occurred or any allergies she might have developed to any drug. Assessment of cardiovascular diseases, blood pressure, and urine output should be obtained (Munford &amp; </w:t>
      </w:r>
      <w:proofErr w:type="spellStart"/>
      <w:r w:rsidRPr="00AC0355">
        <w:rPr>
          <w:rFonts w:ascii="Times New Roman" w:hAnsi="Times New Roman" w:cs="Times New Roman"/>
          <w:sz w:val="24"/>
          <w:szCs w:val="24"/>
        </w:rPr>
        <w:t>Suffredini</w:t>
      </w:r>
      <w:proofErr w:type="spellEnd"/>
      <w:r w:rsidRPr="00AC0355">
        <w:rPr>
          <w:rFonts w:ascii="Times New Roman" w:hAnsi="Times New Roman" w:cs="Times New Roman"/>
          <w:sz w:val="24"/>
          <w:szCs w:val="24"/>
        </w:rPr>
        <w:t>, 2015). The nurse should monitor medication effects of vasoconstrictive including critical signs such as mental status, extremities temperature, and earlobes color. During administration, the integrity of I.V. infusion should be maintained with close monitoring of medication flow rate. Renal status including the output of the urine should be monitored together with creatinine lab values since when vasoconstriction is severe it can lower renal perfusion of the patient (</w:t>
      </w:r>
      <w:proofErr w:type="spellStart"/>
      <w:r w:rsidRPr="00AC0355">
        <w:rPr>
          <w:rFonts w:ascii="Times New Roman" w:hAnsi="Times New Roman" w:cs="Times New Roman"/>
          <w:sz w:val="24"/>
          <w:szCs w:val="24"/>
        </w:rPr>
        <w:t>Mouncey</w:t>
      </w:r>
      <w:proofErr w:type="spellEnd"/>
      <w:r w:rsidRPr="00AC0355">
        <w:rPr>
          <w:rFonts w:ascii="Times New Roman" w:hAnsi="Times New Roman" w:cs="Times New Roman"/>
          <w:sz w:val="24"/>
          <w:szCs w:val="24"/>
        </w:rPr>
        <w:t xml:space="preserve"> et al., 2015). The nurse should monitor some of the injuries or tissues risks that may be related to medication extravasations. Also, he should balance the gas exchange of the patient that may have been impaired due to inadequate cardiac output and monitor tissue perfusion that may have occurred due to adverse effects of the drug. The effectiveness of the drug will be confirmed when the goals and expected outcomes of the patient are met that involves healing or reduced sickness of the condition.</w:t>
      </w:r>
    </w:p>
    <w:p w:rsidR="002D77A8" w:rsidRPr="00AC0355" w:rsidRDefault="002D77A8" w:rsidP="00AC0355">
      <w:pPr>
        <w:spacing w:line="480" w:lineRule="auto"/>
        <w:ind w:firstLine="720"/>
        <w:jc w:val="center"/>
        <w:rPr>
          <w:rFonts w:ascii="Times New Roman" w:hAnsi="Times New Roman" w:cs="Times New Roman"/>
          <w:b/>
          <w:sz w:val="24"/>
          <w:szCs w:val="24"/>
        </w:rPr>
      </w:pPr>
      <w:r w:rsidRPr="00AC0355">
        <w:rPr>
          <w:rFonts w:ascii="Times New Roman" w:hAnsi="Times New Roman" w:cs="Times New Roman"/>
          <w:b/>
          <w:sz w:val="24"/>
          <w:szCs w:val="24"/>
        </w:rPr>
        <w:t>Patient Education Plan</w:t>
      </w:r>
    </w:p>
    <w:p w:rsidR="002D77A8" w:rsidRPr="00AC0355" w:rsidRDefault="002D77A8" w:rsidP="00AC0355">
      <w:pPr>
        <w:spacing w:line="480" w:lineRule="auto"/>
        <w:ind w:firstLine="720"/>
        <w:rPr>
          <w:rFonts w:ascii="Times New Roman" w:hAnsi="Times New Roman" w:cs="Times New Roman"/>
          <w:sz w:val="24"/>
          <w:szCs w:val="24"/>
        </w:rPr>
      </w:pPr>
      <w:r w:rsidRPr="00AC0355">
        <w:rPr>
          <w:rFonts w:ascii="Times New Roman" w:hAnsi="Times New Roman" w:cs="Times New Roman"/>
          <w:sz w:val="24"/>
          <w:szCs w:val="24"/>
        </w:rPr>
        <w:lastRenderedPageBreak/>
        <w:t>There is a need for learning among patients for them to understand their condition and way to control it. Patients have to develop a need for learning for them to understand their need for frequent monitoring of their condition (Singer et al., 2016). People with septic shock require frequent monitoring since it is crucial in ensuring early and appropriate care. Through learning, patients are likely to increase awareness of septic overlap with the use of management protocols that may help them overcome the condition especially in the rationale for Foley catheter. Education goals are for the patient to concern their need for their health in continuous monitoring. Through education, it ensures patients have continuous monitoring of their heart as their medication is infusing. Education sharpens the patients in noting any changes and in immediately reporting any sign of danger like chest pain, palpitations, blurred vision or burning at the IV site (Kaukonen et al., 2014). Through education, patients will achieve a goal of knowing the precaution measures they are likely to take in control of such condition like ensuring they drink more water, avoid too much intake of alcohol, caffeine, and smoking, and also ensure they are on the right diet all time. Also, they can perform some first aids in case of any dizziness or lightheaded which may involve them to lie or sit down for a few minutes which will their blood pressure to go back to normal</w:t>
      </w:r>
      <w:r w:rsidR="00AC0355">
        <w:rPr>
          <w:rFonts w:ascii="Times New Roman" w:hAnsi="Times New Roman" w:cs="Times New Roman"/>
          <w:sz w:val="24"/>
          <w:szCs w:val="24"/>
        </w:rPr>
        <w:t xml:space="preserve"> (Singer et al., 2016)</w:t>
      </w:r>
      <w:r w:rsidRPr="00AC0355">
        <w:rPr>
          <w:rFonts w:ascii="Times New Roman" w:hAnsi="Times New Roman" w:cs="Times New Roman"/>
          <w:sz w:val="24"/>
          <w:szCs w:val="24"/>
        </w:rPr>
        <w:t xml:space="preserve">. The learning outcome is for the patients to maintain adequate ventilation with adequate tissue perfusion. Also, the learning outcome is for patients to demonstrate an understanding of some of the risks and benefits related to the therapy of drugs. Septic shock is connected with high mortality and aged patients and </w:t>
      </w:r>
      <w:proofErr w:type="spellStart"/>
      <w:r w:rsidRPr="00AC0355">
        <w:rPr>
          <w:rFonts w:ascii="Times New Roman" w:hAnsi="Times New Roman" w:cs="Times New Roman"/>
          <w:sz w:val="24"/>
          <w:szCs w:val="24"/>
        </w:rPr>
        <w:t>multimorbid</w:t>
      </w:r>
      <w:proofErr w:type="spellEnd"/>
      <w:r w:rsidRPr="00AC0355">
        <w:rPr>
          <w:rFonts w:ascii="Times New Roman" w:hAnsi="Times New Roman" w:cs="Times New Roman"/>
          <w:sz w:val="24"/>
          <w:szCs w:val="24"/>
        </w:rPr>
        <w:t xml:space="preserve"> may not be eligible for intensive care units. Involving learning and education will help patients assess their health all the time and to continue monitoring their health without delay. Also, they will understand how to administer norepinephrine in the right way and take treatment as required for the improvement of their health.</w:t>
      </w:r>
    </w:p>
    <w:p w:rsidR="002D77A8" w:rsidRPr="00AC0355" w:rsidRDefault="002D77A8" w:rsidP="00AC0355">
      <w:pPr>
        <w:spacing w:line="480" w:lineRule="auto"/>
        <w:jc w:val="center"/>
        <w:rPr>
          <w:rFonts w:ascii="Times New Roman" w:hAnsi="Times New Roman" w:cs="Times New Roman"/>
          <w:sz w:val="24"/>
          <w:szCs w:val="24"/>
        </w:rPr>
      </w:pPr>
      <w:r w:rsidRPr="00AC0355">
        <w:rPr>
          <w:rFonts w:ascii="Times New Roman" w:hAnsi="Times New Roman" w:cs="Times New Roman"/>
          <w:sz w:val="24"/>
          <w:szCs w:val="24"/>
        </w:rPr>
        <w:lastRenderedPageBreak/>
        <w:t>References</w:t>
      </w:r>
    </w:p>
    <w:p w:rsidR="002D77A8" w:rsidRPr="00AC0355" w:rsidRDefault="002D77A8" w:rsidP="00AC0355">
      <w:pPr>
        <w:spacing w:line="480" w:lineRule="auto"/>
        <w:ind w:left="720" w:hanging="720"/>
        <w:rPr>
          <w:rFonts w:ascii="Times New Roman" w:hAnsi="Times New Roman" w:cs="Times New Roman"/>
          <w:sz w:val="24"/>
          <w:szCs w:val="24"/>
        </w:rPr>
      </w:pPr>
      <w:r w:rsidRPr="00AC0355">
        <w:rPr>
          <w:rFonts w:ascii="Times New Roman" w:hAnsi="Times New Roman" w:cs="Times New Roman"/>
          <w:sz w:val="24"/>
          <w:szCs w:val="24"/>
        </w:rPr>
        <w:t xml:space="preserve">Kaukonen, K. M., Bailey, M., Suzuki, S., Pilcher, D., &amp; </w:t>
      </w:r>
      <w:proofErr w:type="spellStart"/>
      <w:r w:rsidRPr="00AC0355">
        <w:rPr>
          <w:rFonts w:ascii="Times New Roman" w:hAnsi="Times New Roman" w:cs="Times New Roman"/>
          <w:sz w:val="24"/>
          <w:szCs w:val="24"/>
        </w:rPr>
        <w:t>Bellomo</w:t>
      </w:r>
      <w:proofErr w:type="spellEnd"/>
      <w:r w:rsidRPr="00AC0355">
        <w:rPr>
          <w:rFonts w:ascii="Times New Roman" w:hAnsi="Times New Roman" w:cs="Times New Roman"/>
          <w:sz w:val="24"/>
          <w:szCs w:val="24"/>
        </w:rPr>
        <w:t>, R. (2014). Mortality related to severe sepsis and septic shock among critically ill patients in Australia and New Zealand, 2000-2012. Jama, 311(13), 1308-1316.</w:t>
      </w:r>
    </w:p>
    <w:p w:rsidR="002D77A8" w:rsidRPr="00AC0355" w:rsidRDefault="002D77A8" w:rsidP="00AC0355">
      <w:pPr>
        <w:spacing w:line="480" w:lineRule="auto"/>
        <w:ind w:left="720" w:hanging="720"/>
        <w:rPr>
          <w:rFonts w:ascii="Times New Roman" w:hAnsi="Times New Roman" w:cs="Times New Roman"/>
          <w:sz w:val="24"/>
          <w:szCs w:val="24"/>
        </w:rPr>
      </w:pPr>
      <w:proofErr w:type="spellStart"/>
      <w:r w:rsidRPr="00AC0355">
        <w:rPr>
          <w:rFonts w:ascii="Times New Roman" w:hAnsi="Times New Roman" w:cs="Times New Roman"/>
          <w:sz w:val="24"/>
          <w:szCs w:val="24"/>
        </w:rPr>
        <w:t>Mouncey</w:t>
      </w:r>
      <w:proofErr w:type="spellEnd"/>
      <w:r w:rsidRPr="00AC0355">
        <w:rPr>
          <w:rFonts w:ascii="Times New Roman" w:hAnsi="Times New Roman" w:cs="Times New Roman"/>
          <w:sz w:val="24"/>
          <w:szCs w:val="24"/>
        </w:rPr>
        <w:t xml:space="preserve">, P. R., Osborn, T. M., Power, G. S., Harrison, D. A., </w:t>
      </w:r>
      <w:proofErr w:type="spellStart"/>
      <w:r w:rsidRPr="00AC0355">
        <w:rPr>
          <w:rFonts w:ascii="Times New Roman" w:hAnsi="Times New Roman" w:cs="Times New Roman"/>
          <w:sz w:val="24"/>
          <w:szCs w:val="24"/>
        </w:rPr>
        <w:t>Sadique</w:t>
      </w:r>
      <w:proofErr w:type="spellEnd"/>
      <w:r w:rsidRPr="00AC0355">
        <w:rPr>
          <w:rFonts w:ascii="Times New Roman" w:hAnsi="Times New Roman" w:cs="Times New Roman"/>
          <w:sz w:val="24"/>
          <w:szCs w:val="24"/>
        </w:rPr>
        <w:t>, M. Z., Grieve, R. D., ... &amp; Coats, T. J. (2015). The trial of early, goal-directed resuscitation for septic shock. New England Journal of Medicine, 372(14), 1301-1311.</w:t>
      </w:r>
    </w:p>
    <w:p w:rsidR="002D77A8" w:rsidRPr="00AC0355" w:rsidRDefault="002D77A8" w:rsidP="00AC0355">
      <w:pPr>
        <w:spacing w:line="480" w:lineRule="auto"/>
        <w:ind w:left="720" w:hanging="720"/>
        <w:rPr>
          <w:rFonts w:ascii="Times New Roman" w:hAnsi="Times New Roman" w:cs="Times New Roman"/>
          <w:sz w:val="24"/>
          <w:szCs w:val="24"/>
        </w:rPr>
      </w:pPr>
      <w:proofErr w:type="spellStart"/>
      <w:r w:rsidRPr="00AC0355">
        <w:rPr>
          <w:rFonts w:ascii="Times New Roman" w:hAnsi="Times New Roman" w:cs="Times New Roman"/>
          <w:sz w:val="24"/>
          <w:szCs w:val="24"/>
        </w:rPr>
        <w:t>Paukert</w:t>
      </w:r>
      <w:proofErr w:type="spellEnd"/>
      <w:r w:rsidRPr="00AC0355">
        <w:rPr>
          <w:rFonts w:ascii="Times New Roman" w:hAnsi="Times New Roman" w:cs="Times New Roman"/>
          <w:sz w:val="24"/>
          <w:szCs w:val="24"/>
        </w:rPr>
        <w:t xml:space="preserve">, M., Agarwal, A., Cha, J., Doze, V. A., Kang, J. U., &amp; </w:t>
      </w:r>
      <w:proofErr w:type="spellStart"/>
      <w:r w:rsidRPr="00AC0355">
        <w:rPr>
          <w:rFonts w:ascii="Times New Roman" w:hAnsi="Times New Roman" w:cs="Times New Roman"/>
          <w:sz w:val="24"/>
          <w:szCs w:val="24"/>
        </w:rPr>
        <w:t>Bergles</w:t>
      </w:r>
      <w:proofErr w:type="spellEnd"/>
      <w:r w:rsidRPr="00AC0355">
        <w:rPr>
          <w:rFonts w:ascii="Times New Roman" w:hAnsi="Times New Roman" w:cs="Times New Roman"/>
          <w:sz w:val="24"/>
          <w:szCs w:val="24"/>
        </w:rPr>
        <w:t xml:space="preserve">, D. E. (2014). Norepinephrine controls </w:t>
      </w:r>
      <w:proofErr w:type="spellStart"/>
      <w:r w:rsidRPr="00AC0355">
        <w:rPr>
          <w:rFonts w:ascii="Times New Roman" w:hAnsi="Times New Roman" w:cs="Times New Roman"/>
          <w:sz w:val="24"/>
          <w:szCs w:val="24"/>
        </w:rPr>
        <w:t>astroglial</w:t>
      </w:r>
      <w:proofErr w:type="spellEnd"/>
      <w:r w:rsidRPr="00AC0355">
        <w:rPr>
          <w:rFonts w:ascii="Times New Roman" w:hAnsi="Times New Roman" w:cs="Times New Roman"/>
          <w:sz w:val="24"/>
          <w:szCs w:val="24"/>
        </w:rPr>
        <w:t xml:space="preserve"> responsiveness to local circuit activity. Neuron, 82(6), 1263-1270.</w:t>
      </w:r>
    </w:p>
    <w:p w:rsidR="002D77A8" w:rsidRPr="00AC0355" w:rsidRDefault="002D77A8" w:rsidP="00AC0355">
      <w:pPr>
        <w:spacing w:line="480" w:lineRule="auto"/>
        <w:ind w:left="720" w:hanging="720"/>
        <w:rPr>
          <w:rFonts w:ascii="Times New Roman" w:hAnsi="Times New Roman" w:cs="Times New Roman"/>
          <w:sz w:val="24"/>
          <w:szCs w:val="24"/>
        </w:rPr>
      </w:pPr>
      <w:r w:rsidRPr="00AC0355">
        <w:rPr>
          <w:rFonts w:ascii="Times New Roman" w:hAnsi="Times New Roman" w:cs="Times New Roman"/>
          <w:sz w:val="24"/>
          <w:szCs w:val="24"/>
        </w:rPr>
        <w:t xml:space="preserve">Munford, R. S., &amp; </w:t>
      </w:r>
      <w:proofErr w:type="spellStart"/>
      <w:r w:rsidRPr="00AC0355">
        <w:rPr>
          <w:rFonts w:ascii="Times New Roman" w:hAnsi="Times New Roman" w:cs="Times New Roman"/>
          <w:sz w:val="24"/>
          <w:szCs w:val="24"/>
        </w:rPr>
        <w:t>Suffredini</w:t>
      </w:r>
      <w:proofErr w:type="spellEnd"/>
      <w:r w:rsidRPr="00AC0355">
        <w:rPr>
          <w:rFonts w:ascii="Times New Roman" w:hAnsi="Times New Roman" w:cs="Times New Roman"/>
          <w:sz w:val="24"/>
          <w:szCs w:val="24"/>
        </w:rPr>
        <w:t>, A. F. (2015). Sepsis, severe sepsis, and septic shock. In Mandell, Douglas, and Bennett's Principles and Practice of Infectious Diseases (Eighth Edition</w:t>
      </w:r>
      <w:proofErr w:type="gramStart"/>
      <w:r w:rsidRPr="00AC0355">
        <w:rPr>
          <w:rFonts w:ascii="Times New Roman" w:hAnsi="Times New Roman" w:cs="Times New Roman"/>
          <w:sz w:val="24"/>
          <w:szCs w:val="24"/>
        </w:rPr>
        <w:t>)(</w:t>
      </w:r>
      <w:proofErr w:type="gramEnd"/>
      <w:r w:rsidRPr="00AC0355">
        <w:rPr>
          <w:rFonts w:ascii="Times New Roman" w:hAnsi="Times New Roman" w:cs="Times New Roman"/>
          <w:sz w:val="24"/>
          <w:szCs w:val="24"/>
        </w:rPr>
        <w:t>pp. 914-934).</w:t>
      </w:r>
    </w:p>
    <w:p w:rsidR="002D77A8" w:rsidRPr="00AC0355" w:rsidRDefault="002D77A8" w:rsidP="00AC0355">
      <w:pPr>
        <w:spacing w:line="480" w:lineRule="auto"/>
        <w:ind w:left="720" w:hanging="720"/>
        <w:rPr>
          <w:rFonts w:ascii="Times New Roman" w:hAnsi="Times New Roman" w:cs="Times New Roman"/>
          <w:sz w:val="24"/>
          <w:szCs w:val="24"/>
        </w:rPr>
      </w:pPr>
      <w:r w:rsidRPr="00AC0355">
        <w:rPr>
          <w:rFonts w:ascii="Times New Roman" w:hAnsi="Times New Roman" w:cs="Times New Roman"/>
          <w:sz w:val="24"/>
          <w:szCs w:val="24"/>
        </w:rPr>
        <w:t xml:space="preserve">Singer, M., </w:t>
      </w:r>
      <w:proofErr w:type="spellStart"/>
      <w:r w:rsidRPr="00AC0355">
        <w:rPr>
          <w:rFonts w:ascii="Times New Roman" w:hAnsi="Times New Roman" w:cs="Times New Roman"/>
          <w:sz w:val="24"/>
          <w:szCs w:val="24"/>
        </w:rPr>
        <w:t>Deutschman</w:t>
      </w:r>
      <w:proofErr w:type="spellEnd"/>
      <w:r w:rsidRPr="00AC0355">
        <w:rPr>
          <w:rFonts w:ascii="Times New Roman" w:hAnsi="Times New Roman" w:cs="Times New Roman"/>
          <w:sz w:val="24"/>
          <w:szCs w:val="24"/>
        </w:rPr>
        <w:t xml:space="preserve">, C. S., Seymour, C. W., Shankar-Hari, M., </w:t>
      </w:r>
      <w:proofErr w:type="spellStart"/>
      <w:r w:rsidRPr="00AC0355">
        <w:rPr>
          <w:rFonts w:ascii="Times New Roman" w:hAnsi="Times New Roman" w:cs="Times New Roman"/>
          <w:sz w:val="24"/>
          <w:szCs w:val="24"/>
        </w:rPr>
        <w:t>Annane</w:t>
      </w:r>
      <w:proofErr w:type="spellEnd"/>
      <w:r w:rsidRPr="00AC0355">
        <w:rPr>
          <w:rFonts w:ascii="Times New Roman" w:hAnsi="Times New Roman" w:cs="Times New Roman"/>
          <w:sz w:val="24"/>
          <w:szCs w:val="24"/>
        </w:rPr>
        <w:t>, D., Bauer, M</w:t>
      </w:r>
      <w:proofErr w:type="gramStart"/>
      <w:r w:rsidRPr="00AC0355">
        <w:rPr>
          <w:rFonts w:ascii="Times New Roman" w:hAnsi="Times New Roman" w:cs="Times New Roman"/>
          <w:sz w:val="24"/>
          <w:szCs w:val="24"/>
        </w:rPr>
        <w:t>., ...</w:t>
      </w:r>
      <w:proofErr w:type="gramEnd"/>
      <w:r w:rsidRPr="00AC0355">
        <w:rPr>
          <w:rFonts w:ascii="Times New Roman" w:hAnsi="Times New Roman" w:cs="Times New Roman"/>
          <w:sz w:val="24"/>
          <w:szCs w:val="24"/>
        </w:rPr>
        <w:t xml:space="preserve"> &amp; Hotchkiss, R. S. (2016). The third international consensus definitions for sepsis and septic shock (Sepsis-3). Jama, 315(8), 801-810.</w:t>
      </w:r>
    </w:p>
    <w:p w:rsidR="002D77A8" w:rsidRDefault="002D77A8" w:rsidP="002D77A8">
      <w:r>
        <w:t xml:space="preserve">  </w:t>
      </w:r>
    </w:p>
    <w:p w:rsidR="00EC0942" w:rsidRDefault="002D77A8" w:rsidP="002D77A8">
      <w:r>
        <w:t xml:space="preserve">   </w:t>
      </w:r>
    </w:p>
    <w:sectPr w:rsidR="00EC0942" w:rsidSect="00AC035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66CF" w:rsidRDefault="009466CF" w:rsidP="00AC0355">
      <w:pPr>
        <w:spacing w:after="0" w:line="240" w:lineRule="auto"/>
      </w:pPr>
      <w:r>
        <w:separator/>
      </w:r>
    </w:p>
  </w:endnote>
  <w:endnote w:type="continuationSeparator" w:id="0">
    <w:p w:rsidR="009466CF" w:rsidRDefault="009466CF" w:rsidP="00AC0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66CF" w:rsidRDefault="009466CF" w:rsidP="00AC0355">
      <w:pPr>
        <w:spacing w:after="0" w:line="240" w:lineRule="auto"/>
      </w:pPr>
      <w:r>
        <w:separator/>
      </w:r>
    </w:p>
  </w:footnote>
  <w:footnote w:type="continuationSeparator" w:id="0">
    <w:p w:rsidR="009466CF" w:rsidRDefault="009466CF" w:rsidP="00AC03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0355" w:rsidRPr="00AC0355" w:rsidRDefault="00AC0355" w:rsidP="00AC0355">
    <w:pPr>
      <w:tabs>
        <w:tab w:val="right" w:pos="9360"/>
      </w:tabs>
      <w:rPr>
        <w:rFonts w:ascii="Times New Roman" w:hAnsi="Times New Roman" w:cs="Times New Roman"/>
        <w:sz w:val="24"/>
        <w:szCs w:val="24"/>
      </w:rPr>
    </w:pPr>
    <w:r w:rsidRPr="00AC0355">
      <w:rPr>
        <w:rFonts w:ascii="Times New Roman" w:hAnsi="Times New Roman" w:cs="Times New Roman"/>
        <w:sz w:val="24"/>
        <w:szCs w:val="24"/>
      </w:rPr>
      <w:t>NOREPINEPHRINE</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6833C3">
      <w:rPr>
        <w:rFonts w:ascii="Times New Roman" w:hAnsi="Times New Roman" w:cs="Times New Roman"/>
        <w:noProof/>
        <w:sz w:val="24"/>
        <w:szCs w:val="24"/>
      </w:rPr>
      <w:t>5</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0355" w:rsidRPr="00AC0355" w:rsidRDefault="00AC0355" w:rsidP="00AC0355">
    <w:pPr>
      <w:tabs>
        <w:tab w:val="right" w:pos="9360"/>
      </w:tabs>
      <w:rPr>
        <w:rFonts w:ascii="Times New Roman" w:hAnsi="Times New Roman" w:cs="Times New Roman"/>
        <w:sz w:val="24"/>
        <w:szCs w:val="24"/>
      </w:rPr>
    </w:pPr>
    <w:r w:rsidRPr="00AC0355">
      <w:rPr>
        <w:rFonts w:ascii="Times New Roman" w:hAnsi="Times New Roman" w:cs="Times New Roman"/>
        <w:sz w:val="24"/>
        <w:szCs w:val="24"/>
      </w:rPr>
      <w:t>Running head: NOREPINEPHRINE</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77A8"/>
    <w:rsid w:val="00231518"/>
    <w:rsid w:val="002A2332"/>
    <w:rsid w:val="002D77A8"/>
    <w:rsid w:val="006228DB"/>
    <w:rsid w:val="006833C3"/>
    <w:rsid w:val="009466CF"/>
    <w:rsid w:val="009C66E3"/>
    <w:rsid w:val="00AC0355"/>
    <w:rsid w:val="00BA38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D466D19-C4D1-4D92-8EFF-B81BA0587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5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03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355"/>
  </w:style>
  <w:style w:type="paragraph" w:styleId="Footer">
    <w:name w:val="footer"/>
    <w:basedOn w:val="Normal"/>
    <w:link w:val="FooterChar"/>
    <w:uiPriority w:val="99"/>
    <w:unhideWhenUsed/>
    <w:rsid w:val="00AC03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3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5</Pages>
  <Words>1040</Words>
  <Characters>5932</Characters>
  <Application>Microsoft Office Word</Application>
  <DocSecurity>0</DocSecurity>
  <Lines>49</Lines>
  <Paragraphs>13</Paragraphs>
  <ScaleCrop>false</ScaleCrop>
  <Company/>
  <LinksUpToDate>false</LinksUpToDate>
  <CharactersWithSpaces>6959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user</cp:lastModifiedBy>
  <cp:revision>2</cp:revision>
  <dcterms:created xsi:type="dcterms:W3CDTF">2018-08-10T19:24:00Z</dcterms:created>
  <dcterms:modified xsi:type="dcterms:W3CDTF">2018-08-10T19:24:00Z</dcterms:modified>
</cp:coreProperties>
</file>