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DC1" w:rsidRDefault="00445604" w:rsidP="0066159E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Name</w:t>
      </w:r>
    </w:p>
    <w:p w:rsidR="00B01DC1" w:rsidRDefault="00445604" w:rsidP="0066159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Nursing Regulations</w:t>
      </w:r>
    </w:p>
    <w:p w:rsidR="0066159E" w:rsidRDefault="0066159E">
      <w:pPr>
        <w:rPr>
          <w:rFonts w:ascii="Times New Roman" w:hAnsi="Times New Roman" w:cs="Times New Roman"/>
          <w:sz w:val="24"/>
          <w:szCs w:val="24"/>
        </w:rPr>
      </w:pPr>
    </w:p>
    <w:p w:rsidR="0066159E" w:rsidRDefault="0066159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124"/>
        <w:gridCol w:w="2664"/>
        <w:gridCol w:w="2394"/>
      </w:tblGrid>
      <w:tr w:rsidR="000F6E61" w:rsidTr="006459AD">
        <w:tc>
          <w:tcPr>
            <w:tcW w:w="2394" w:type="dxa"/>
          </w:tcPr>
          <w:p w:rsidR="00B37898" w:rsidRPr="00896CC2" w:rsidRDefault="00445604">
            <w:pPr>
              <w:rPr>
                <w:rFonts w:ascii="Times New Roman" w:hAnsi="Times New Roman" w:cs="Times New Roman"/>
                <w:i/>
                <w:sz w:val="40"/>
                <w:szCs w:val="40"/>
              </w:rPr>
            </w:pPr>
            <w:r w:rsidRPr="00896CC2">
              <w:rPr>
                <w:rFonts w:ascii="Times New Roman" w:hAnsi="Times New Roman" w:cs="Times New Roman"/>
                <w:i/>
                <w:sz w:val="40"/>
                <w:szCs w:val="40"/>
              </w:rPr>
              <w:t xml:space="preserve">Topic </w:t>
            </w:r>
          </w:p>
        </w:tc>
        <w:tc>
          <w:tcPr>
            <w:tcW w:w="2124" w:type="dxa"/>
          </w:tcPr>
          <w:p w:rsidR="00B37898" w:rsidRPr="00896CC2" w:rsidRDefault="00445604">
            <w:pPr>
              <w:rPr>
                <w:rFonts w:ascii="Times New Roman" w:hAnsi="Times New Roman" w:cs="Times New Roman"/>
                <w:i/>
                <w:color w:val="E36C0A" w:themeColor="accent6" w:themeShade="BF"/>
                <w:sz w:val="32"/>
                <w:szCs w:val="32"/>
              </w:rPr>
            </w:pPr>
            <w:r w:rsidRPr="00896CC2">
              <w:rPr>
                <w:rFonts w:ascii="Times New Roman" w:hAnsi="Times New Roman" w:cs="Times New Roman"/>
                <w:i/>
                <w:color w:val="E36C0A" w:themeColor="accent6" w:themeShade="BF"/>
                <w:sz w:val="32"/>
                <w:szCs w:val="32"/>
              </w:rPr>
              <w:t>Supervisory Practice</w:t>
            </w:r>
          </w:p>
        </w:tc>
        <w:tc>
          <w:tcPr>
            <w:tcW w:w="2664" w:type="dxa"/>
          </w:tcPr>
          <w:p w:rsidR="00B37898" w:rsidRPr="00896CC2" w:rsidRDefault="00445604">
            <w:pPr>
              <w:rPr>
                <w:rFonts w:ascii="Times New Roman" w:hAnsi="Times New Roman" w:cs="Times New Roman"/>
                <w:i/>
                <w:color w:val="E36C0A" w:themeColor="accent6" w:themeShade="BF"/>
                <w:sz w:val="32"/>
                <w:szCs w:val="32"/>
              </w:rPr>
            </w:pPr>
            <w:r w:rsidRPr="00896CC2">
              <w:rPr>
                <w:rFonts w:ascii="Times New Roman" w:hAnsi="Times New Roman" w:cs="Times New Roman"/>
                <w:i/>
                <w:color w:val="E36C0A" w:themeColor="accent6" w:themeShade="BF"/>
                <w:sz w:val="32"/>
                <w:szCs w:val="32"/>
              </w:rPr>
              <w:t xml:space="preserve">Collaborative Practice </w:t>
            </w:r>
          </w:p>
        </w:tc>
        <w:tc>
          <w:tcPr>
            <w:tcW w:w="2394" w:type="dxa"/>
          </w:tcPr>
          <w:p w:rsidR="00B37898" w:rsidRPr="00896CC2" w:rsidRDefault="00445604">
            <w:pPr>
              <w:rPr>
                <w:rFonts w:ascii="Times New Roman" w:hAnsi="Times New Roman" w:cs="Times New Roman"/>
                <w:i/>
                <w:color w:val="E36C0A" w:themeColor="accent6" w:themeShade="BF"/>
                <w:sz w:val="32"/>
                <w:szCs w:val="32"/>
              </w:rPr>
            </w:pPr>
            <w:r w:rsidRPr="00896CC2">
              <w:rPr>
                <w:rFonts w:ascii="Times New Roman" w:hAnsi="Times New Roman" w:cs="Times New Roman"/>
                <w:i/>
                <w:color w:val="E36C0A" w:themeColor="accent6" w:themeShade="BF"/>
                <w:sz w:val="32"/>
                <w:szCs w:val="32"/>
              </w:rPr>
              <w:t>Independence Practice</w:t>
            </w:r>
          </w:p>
        </w:tc>
      </w:tr>
      <w:tr w:rsidR="000F6E61" w:rsidTr="006459AD"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name of the State representing the regulatory Model</w:t>
            </w:r>
          </w:p>
        </w:tc>
        <w:tc>
          <w:tcPr>
            <w:tcW w:w="212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Massachusetts</w:t>
            </w:r>
          </w:p>
        </w:tc>
        <w:tc>
          <w:tcPr>
            <w:tcW w:w="266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New York State</w:t>
            </w:r>
          </w:p>
        </w:tc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Maryland</w:t>
            </w:r>
          </w:p>
        </w:tc>
      </w:tr>
      <w:tr w:rsidR="000F6E61" w:rsidTr="006459AD"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the Model affects the NPs Scope of practice </w:t>
            </w:r>
            <w:r w:rsidR="001C6A4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use of protocols, formulary, written agreements, direct versus indirect supervision, referral policy, patient care, review of medical documentation, and Payment reimbursement.) </w:t>
            </w:r>
          </w:p>
        </w:tc>
        <w:tc>
          <w:tcPr>
            <w:tcW w:w="212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Nurse practitioners have physician supe</w:t>
            </w:r>
            <w:r w:rsidR="00896CC2">
              <w:rPr>
                <w:rFonts w:ascii="Times New Roman" w:hAnsi="Times New Roman" w:cs="Times New Roman"/>
                <w:sz w:val="24"/>
                <w:szCs w:val="24"/>
              </w:rPr>
              <w:t>rvision. A written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agreement betwe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en the NP and the supervising physician. The agreement is mutually developed and agreed to by the physician and the Nurse practitioner.  </w:t>
            </w:r>
          </w:p>
        </w:tc>
        <w:tc>
          <w:tcPr>
            <w:tcW w:w="2664" w:type="dxa"/>
          </w:tcPr>
          <w:p w:rsidR="00F31C6A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New York State (NYS) education law 6902 requires that a nurse practitioner performs the roles of diagnosis,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therapeutic and corrective measures within a specialty of practice in collaboration with a qualified physician.</w:t>
            </w:r>
            <w:r w:rsidR="00696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Also, an NP enters into a written collaboration agreement with a physician which includes provisions such as</w:t>
            </w:r>
          </w:p>
          <w:p w:rsidR="00F31C6A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Resolving of disagreement between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 NP and the collaborative physician, patient referral and collaboration, and identification of written practice protocols that the NP will use.</w:t>
            </w:r>
          </w:p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However, the physician is not needed to supervise an NP.   </w:t>
            </w:r>
            <w:r w:rsidR="007A1A70">
              <w:rPr>
                <w:rFonts w:ascii="Times New Roman" w:hAnsi="Times New Roman" w:cs="Times New Roman"/>
                <w:sz w:val="24"/>
                <w:szCs w:val="24"/>
              </w:rPr>
              <w:t xml:space="preserve">Besides, collaborative law prohibits Fee splitting or Kick-backs </w:t>
            </w:r>
            <w:r w:rsidR="007A1A70" w:rsidRPr="007A1A70">
              <w:rPr>
                <w:rFonts w:ascii="Times New Roman" w:hAnsi="Times New Roman" w:cs="Times New Roman"/>
                <w:sz w:val="24"/>
              </w:rPr>
              <w:t>(NYSED.gov, 2013)</w:t>
            </w:r>
            <w:r w:rsidR="007A1A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E4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Maryland allows licensed NPs to treat patients without the oversight of primary care physicians. </w:t>
            </w:r>
            <w:r w:rsidR="008F6DB4">
              <w:rPr>
                <w:rFonts w:ascii="Times New Roman" w:hAnsi="Times New Roman" w:cs="Times New Roman"/>
                <w:sz w:val="24"/>
                <w:szCs w:val="24"/>
              </w:rPr>
              <w:t xml:space="preserve"> NPs are also allowed to prescribe certain drugs without a collaboration agreement with physicians. Further, NPs are allowed to start their clinics. However, NPs are required to have a18 months regulated collaborative relationship with a physician or and NR with full practice authority.   </w:t>
            </w:r>
          </w:p>
        </w:tc>
      </w:tr>
      <w:tr w:rsidR="000F6E61" w:rsidTr="006459AD"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the model serves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 a barrier to access care</w:t>
            </w:r>
          </w:p>
        </w:tc>
        <w:tc>
          <w:tcPr>
            <w:tcW w:w="212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NP restrictions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reduce the supply of NPs and, hence, the number of care providers.  It also reduces the employment rate of NPs. A study showed that NPs from states with fewer restrictions are 5 times more likely to be employed compared to those from more 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estrictive states </w:t>
            </w:r>
            <w:r w:rsidRPr="00EE194F">
              <w:rPr>
                <w:rFonts w:ascii="Times New Roman" w:hAnsi="Times New Roman" w:cs="Times New Roman"/>
                <w:sz w:val="24"/>
              </w:rPr>
              <w:t>(Arifkhanova, 2018)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Since, NPs pre</w:t>
            </w:r>
            <w:r w:rsidR="002262B5">
              <w:rPr>
                <w:rFonts w:ascii="Times New Roman" w:hAnsi="Times New Roman" w:cs="Times New Roman"/>
                <w:sz w:val="24"/>
                <w:szCs w:val="24"/>
              </w:rPr>
              <w:t xml:space="preserve">fer states allowing independence citizens from more restrictive suffer reduced care providers, therefore, poor care access.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66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Like supervision in NP,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collaborative practice deny the NP the opportunity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 fully serve patients.  NPs prefer states where physicians are not much oversight. More restrictive states suffer reduces the number of NPs and, hence, health care providers.   </w:t>
            </w:r>
          </w:p>
        </w:tc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Freedom of practice</w:t>
            </w:r>
            <w:r w:rsidR="00747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77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allows patients to get care with efficiency. Rural areas especially are served by NP, therefore, reducing shortage of healthcare providers. </w:t>
            </w:r>
            <w:r w:rsidR="00FC7413">
              <w:rPr>
                <w:rFonts w:ascii="Times New Roman" w:hAnsi="Times New Roman" w:cs="Times New Roman"/>
                <w:sz w:val="24"/>
                <w:szCs w:val="24"/>
              </w:rPr>
              <w:t>The authority of NPs to evaluate patients, diagnose order and interpret diagnostic tests, initiate and manage treatments as well as prescribe drugs enable patients to access affordable health care</w:t>
            </w:r>
            <w:r w:rsidR="00FC7413" w:rsidRPr="00FC7413">
              <w:rPr>
                <w:rFonts w:ascii="Times New Roman" w:hAnsi="Times New Roman" w:cs="Times New Roman"/>
                <w:sz w:val="24"/>
              </w:rPr>
              <w:t>(Ortiz et al., 2018)</w:t>
            </w:r>
            <w:r w:rsidR="00FC741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F6E61" w:rsidTr="006459AD"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Compare/contrast the prescriptive privileges of each model and State example.</w:t>
            </w:r>
          </w:p>
        </w:tc>
        <w:tc>
          <w:tcPr>
            <w:tcW w:w="212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collaborative agreement between an NP and the collaborating physician includes the </w:t>
            </w:r>
            <w:r w:rsidR="00D96169">
              <w:rPr>
                <w:rFonts w:ascii="Times New Roman" w:hAnsi="Times New Roman" w:cs="Times New Roman"/>
                <w:sz w:val="24"/>
                <w:szCs w:val="24"/>
              </w:rPr>
              <w:t xml:space="preserve">NPs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prescription guidelines.</w:t>
            </w:r>
            <w:r w:rsidR="00D96169">
              <w:rPr>
                <w:rFonts w:ascii="Times New Roman" w:hAnsi="Times New Roman" w:cs="Times New Roman"/>
                <w:sz w:val="24"/>
                <w:szCs w:val="24"/>
              </w:rPr>
              <w:t xml:space="preserve"> The agreement describes the prescribing practice and the type of medication that may be prescribed </w:t>
            </w:r>
            <w:r w:rsidR="00D96169" w:rsidRPr="00D96169">
              <w:rPr>
                <w:rFonts w:ascii="Times New Roman" w:hAnsi="Times New Roman" w:cs="Times New Roman"/>
                <w:sz w:val="24"/>
                <w:szCs w:val="24"/>
              </w:rPr>
              <w:t>(“Massachusetts Scope of Practice Policy—State Profile,” n.d.)</w:t>
            </w:r>
            <w:r w:rsidR="00D9616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66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nurse practitioner is authorized to issue a prescription. NPs are licensed independently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have unlimited prescriptive authority </w:t>
            </w:r>
            <w:r w:rsidRPr="007F1870">
              <w:rPr>
                <w:rFonts w:ascii="Times New Roman" w:hAnsi="Times New Roman" w:cs="Times New Roman"/>
                <w:sz w:val="24"/>
              </w:rPr>
              <w:t>(NYSED.gov, 2013)</w:t>
            </w:r>
          </w:p>
        </w:tc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NP can prescribe drugs. They are</w:t>
            </w:r>
            <w:r w:rsidR="00896C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however</w:t>
            </w:r>
            <w:r w:rsidR="00896C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required to </w:t>
            </w:r>
            <w:r w:rsidR="00896CC2">
              <w:rPr>
                <w:rFonts w:ascii="Times New Roman" w:hAnsi="Times New Roman" w:cs="Times New Roman"/>
                <w:sz w:val="24"/>
                <w:szCs w:val="24"/>
              </w:rPr>
              <w:t>register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the Prescription Drug Monitoring program (PDMP).  </w:t>
            </w:r>
          </w:p>
        </w:tc>
      </w:tr>
      <w:tr w:rsidR="000F6E61" w:rsidTr="006459AD"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How each model impact payer status for the NP </w:t>
            </w:r>
          </w:p>
        </w:tc>
        <w:tc>
          <w:tcPr>
            <w:tcW w:w="212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Like in collaboration, the 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surer requires that there be evidence duty performed. IN some cases, the care and services provided by an NP and those provided by a physician overlap. The insurer requires that </w:t>
            </w:r>
            <w:r w:rsidR="00930CD7">
              <w:rPr>
                <w:rFonts w:ascii="Times New Roman" w:hAnsi="Times New Roman" w:cs="Times New Roman"/>
                <w:sz w:val="24"/>
                <w:szCs w:val="24"/>
              </w:rPr>
              <w:t>services provided by the NP to have not been billed by any other care provider. Overlapping affects the payer status of an NP</w:t>
            </w:r>
            <w:r w:rsidR="00896C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6CC2" w:rsidRPr="00896CC2">
              <w:rPr>
                <w:rFonts w:ascii="Times New Roman" w:hAnsi="Times New Roman" w:cs="Times New Roman"/>
                <w:sz w:val="24"/>
              </w:rPr>
              <w:t>(Buppert, n.d.)</w:t>
            </w:r>
            <w:r w:rsidR="00930CD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6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Collaboration restricts the payer status of an NP. For example, Medicare requires that NP perform services in collaboration with a physician to qualify for reimbursement of their services.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Further, Medicare requires that an NP to have performed services that physician services or those that a physician can bill Medicare.</w:t>
            </w:r>
          </w:p>
        </w:tc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Unlike in </w:t>
            </w:r>
            <w:r w:rsidR="00930CD7">
              <w:rPr>
                <w:rFonts w:ascii="Times New Roman" w:hAnsi="Times New Roman" w:cs="Times New Roman"/>
                <w:sz w:val="24"/>
                <w:szCs w:val="24"/>
              </w:rPr>
              <w:t xml:space="preserve">collaboration and supervision models, the independent model allows NPs to receive reimbursement without the possibility of overlapping with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services provided by a physician. Billing is done for all the services offered by an NP.</w:t>
            </w:r>
          </w:p>
        </w:tc>
      </w:tr>
      <w:tr w:rsidR="000F6E61" w:rsidTr="006459AD"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Compare/ Contrast how these models may impact NP job satisfaction </w:t>
            </w:r>
          </w:p>
        </w:tc>
        <w:tc>
          <w:tcPr>
            <w:tcW w:w="212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inconsistency in medical practitioners' SOP, places an NP in 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position of being s</w:t>
            </w:r>
            <w:r w:rsidR="00502F32">
              <w:rPr>
                <w:rFonts w:ascii="Times New Roman" w:hAnsi="Times New Roman" w:cs="Times New Roman"/>
                <w:sz w:val="24"/>
                <w:szCs w:val="24"/>
              </w:rPr>
              <w:t xml:space="preserve">upervised. This denies him/her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the opportunity to</w:t>
            </w:r>
            <w:r w:rsidR="00502F32">
              <w:rPr>
                <w:rFonts w:ascii="Times New Roman" w:hAnsi="Times New Roman" w:cs="Times New Roman"/>
                <w:sz w:val="24"/>
                <w:szCs w:val="24"/>
              </w:rPr>
              <w:t xml:space="preserve"> maximally utilize their potentials.  </w:t>
            </w:r>
          </w:p>
        </w:tc>
        <w:tc>
          <w:tcPr>
            <w:tcW w:w="266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restrictive nature of nursing reduces NP job satisfaction. They are restricted in performing diagnosis, treatment or prescribing drugs. This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denies them freedom, and therefore, decreased job satisfaction.</w:t>
            </w:r>
            <w:r w:rsidR="00502F32">
              <w:rPr>
                <w:rFonts w:ascii="Times New Roman" w:hAnsi="Times New Roman" w:cs="Times New Roman"/>
                <w:sz w:val="24"/>
                <w:szCs w:val="24"/>
              </w:rPr>
              <w:t xml:space="preserve"> Additionally, the need for much collaboration may create an unfavorable environment for NP causing them to lower job satisfaction</w:t>
            </w:r>
            <w:r w:rsidR="00896C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6CC2" w:rsidRPr="00896CC2">
              <w:rPr>
                <w:rFonts w:ascii="Times New Roman" w:hAnsi="Times New Roman" w:cs="Times New Roman"/>
                <w:sz w:val="24"/>
                <w:szCs w:val="24"/>
              </w:rPr>
              <w:t>(Poghosyan, Liu, Shang, &amp; D’Aunno, 2017)</w:t>
            </w:r>
            <w:r w:rsidR="00502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4" w:type="dxa"/>
          </w:tcPr>
          <w:p w:rsidR="00B37898" w:rsidRDefault="00445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NP independent prac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tice gives them higher job satisfaction. Research showed that states that gave NP full practice (independent practice), job satisfaction increased by 20 % and turnover decreased by 20%</w:t>
            </w:r>
            <w:r w:rsidRPr="009B5B96">
              <w:rPr>
                <w:rFonts w:ascii="Times New Roman" w:hAnsi="Times New Roman" w:cs="Times New Roman"/>
                <w:sz w:val="24"/>
              </w:rPr>
              <w:t>(Ortiz et al., 2018)</w:t>
            </w:r>
          </w:p>
        </w:tc>
      </w:tr>
    </w:tbl>
    <w:p w:rsidR="00896CC2" w:rsidRDefault="00896CC2">
      <w:pPr>
        <w:rPr>
          <w:rFonts w:ascii="Times New Roman" w:hAnsi="Times New Roman" w:cs="Times New Roman"/>
          <w:sz w:val="24"/>
          <w:szCs w:val="24"/>
        </w:rPr>
      </w:pPr>
    </w:p>
    <w:p w:rsidR="00896CC2" w:rsidRDefault="00896CC2">
      <w:pPr>
        <w:rPr>
          <w:rFonts w:ascii="Times New Roman" w:hAnsi="Times New Roman" w:cs="Times New Roman"/>
          <w:sz w:val="24"/>
          <w:szCs w:val="24"/>
        </w:rPr>
      </w:pPr>
    </w:p>
    <w:p w:rsidR="00896CC2" w:rsidRDefault="00896CC2">
      <w:pPr>
        <w:rPr>
          <w:rFonts w:ascii="Times New Roman" w:hAnsi="Times New Roman" w:cs="Times New Roman"/>
          <w:sz w:val="24"/>
          <w:szCs w:val="24"/>
        </w:rPr>
      </w:pPr>
    </w:p>
    <w:p w:rsidR="00896CC2" w:rsidRDefault="00896CC2">
      <w:pPr>
        <w:rPr>
          <w:rFonts w:ascii="Times New Roman" w:hAnsi="Times New Roman" w:cs="Times New Roman"/>
          <w:sz w:val="24"/>
          <w:szCs w:val="24"/>
        </w:rPr>
      </w:pPr>
    </w:p>
    <w:p w:rsidR="00896CC2" w:rsidRDefault="00896CC2">
      <w:pPr>
        <w:rPr>
          <w:rFonts w:ascii="Times New Roman" w:hAnsi="Times New Roman" w:cs="Times New Roman"/>
          <w:sz w:val="24"/>
          <w:szCs w:val="24"/>
        </w:rPr>
      </w:pPr>
    </w:p>
    <w:p w:rsidR="00896CC2" w:rsidRDefault="00896CC2">
      <w:pPr>
        <w:rPr>
          <w:rFonts w:ascii="Times New Roman" w:hAnsi="Times New Roman" w:cs="Times New Roman"/>
          <w:sz w:val="24"/>
          <w:szCs w:val="24"/>
        </w:rPr>
      </w:pPr>
    </w:p>
    <w:p w:rsidR="00896CC2" w:rsidRDefault="00896CC2">
      <w:pPr>
        <w:rPr>
          <w:rFonts w:ascii="Times New Roman" w:hAnsi="Times New Roman" w:cs="Times New Roman"/>
          <w:sz w:val="24"/>
          <w:szCs w:val="24"/>
        </w:rPr>
      </w:pPr>
    </w:p>
    <w:p w:rsidR="00896CC2" w:rsidRDefault="00896CC2">
      <w:pPr>
        <w:rPr>
          <w:rFonts w:ascii="Times New Roman" w:hAnsi="Times New Roman" w:cs="Times New Roman"/>
          <w:sz w:val="24"/>
          <w:szCs w:val="24"/>
        </w:rPr>
      </w:pPr>
    </w:p>
    <w:p w:rsidR="00896CC2" w:rsidRDefault="00896CC2">
      <w:pPr>
        <w:rPr>
          <w:rFonts w:ascii="Times New Roman" w:hAnsi="Times New Roman" w:cs="Times New Roman"/>
          <w:sz w:val="24"/>
          <w:szCs w:val="24"/>
        </w:rPr>
      </w:pPr>
    </w:p>
    <w:p w:rsidR="00896CC2" w:rsidRDefault="00445604" w:rsidP="00896CC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896CC2" w:rsidRPr="00896CC2" w:rsidRDefault="00445604" w:rsidP="00896CC2">
      <w:pPr>
        <w:pStyle w:val="Bibliography"/>
        <w:rPr>
          <w:rFonts w:ascii="Times New Roman" w:hAnsi="Times New Roman" w:cs="Times New Roman"/>
          <w:sz w:val="24"/>
        </w:rPr>
      </w:pPr>
      <w:r w:rsidRPr="00896CC2">
        <w:rPr>
          <w:rFonts w:ascii="Times New Roman" w:hAnsi="Times New Roman" w:cs="Times New Roman"/>
          <w:sz w:val="24"/>
        </w:rPr>
        <w:t xml:space="preserve">Arifkhanova, A. (2018). The </w:t>
      </w:r>
      <w:r w:rsidRPr="00896CC2">
        <w:rPr>
          <w:rFonts w:ascii="Times New Roman" w:hAnsi="Times New Roman" w:cs="Times New Roman"/>
          <w:sz w:val="24"/>
        </w:rPr>
        <w:t>Impact of Nurse Practitioner Scope-of-Practice Regulations in Primary Care [Product Page]. Retrieved September 30, 2019, from https://www.rand.org/pubs/rgs_dissertations/RGSD396.html</w:t>
      </w:r>
    </w:p>
    <w:p w:rsidR="00896CC2" w:rsidRPr="00896CC2" w:rsidRDefault="00445604" w:rsidP="00896CC2">
      <w:pPr>
        <w:pStyle w:val="Bibliography"/>
        <w:rPr>
          <w:rFonts w:ascii="Times New Roman" w:hAnsi="Times New Roman" w:cs="Times New Roman"/>
          <w:sz w:val="24"/>
        </w:rPr>
      </w:pPr>
      <w:r w:rsidRPr="00896CC2">
        <w:rPr>
          <w:rFonts w:ascii="Times New Roman" w:hAnsi="Times New Roman" w:cs="Times New Roman"/>
          <w:sz w:val="24"/>
        </w:rPr>
        <w:t xml:space="preserve">Buppert, C. (n.d.). </w:t>
      </w:r>
      <w:r w:rsidRPr="00896CC2">
        <w:rPr>
          <w:rFonts w:ascii="Times New Roman" w:hAnsi="Times New Roman" w:cs="Times New Roman"/>
          <w:i/>
          <w:iCs/>
          <w:sz w:val="24"/>
        </w:rPr>
        <w:t>Billing For Nurse Practitioner Services: Guidelines f</w:t>
      </w:r>
      <w:r w:rsidRPr="00896CC2">
        <w:rPr>
          <w:rFonts w:ascii="Times New Roman" w:hAnsi="Times New Roman" w:cs="Times New Roman"/>
          <w:i/>
          <w:iCs/>
          <w:sz w:val="24"/>
        </w:rPr>
        <w:t>or NPs, Physicians, Employers, and Insurers</w:t>
      </w:r>
      <w:r w:rsidRPr="00896CC2">
        <w:rPr>
          <w:rFonts w:ascii="Times New Roman" w:hAnsi="Times New Roman" w:cs="Times New Roman"/>
          <w:sz w:val="24"/>
        </w:rPr>
        <w:t>. 17.</w:t>
      </w:r>
    </w:p>
    <w:p w:rsidR="00896CC2" w:rsidRPr="00896CC2" w:rsidRDefault="00445604" w:rsidP="00896CC2">
      <w:pPr>
        <w:pStyle w:val="Bibliography"/>
        <w:rPr>
          <w:rFonts w:ascii="Times New Roman" w:hAnsi="Times New Roman" w:cs="Times New Roman"/>
          <w:sz w:val="24"/>
        </w:rPr>
      </w:pPr>
      <w:r w:rsidRPr="00896CC2">
        <w:rPr>
          <w:rFonts w:ascii="Times New Roman" w:hAnsi="Times New Roman" w:cs="Times New Roman"/>
          <w:sz w:val="24"/>
        </w:rPr>
        <w:t>Massachusetts Scope of Practice Policy—State Profile. (n.d.). Retrieved September 30, 2019, from Scope of Practice Policy website: http://scopeofpracticepolicy.org/states/ma/</w:t>
      </w:r>
    </w:p>
    <w:p w:rsidR="00896CC2" w:rsidRPr="00896CC2" w:rsidRDefault="00445604" w:rsidP="00896CC2">
      <w:pPr>
        <w:pStyle w:val="Bibliography"/>
        <w:rPr>
          <w:rFonts w:ascii="Times New Roman" w:hAnsi="Times New Roman" w:cs="Times New Roman"/>
          <w:sz w:val="24"/>
        </w:rPr>
      </w:pPr>
      <w:r w:rsidRPr="00896CC2">
        <w:rPr>
          <w:rFonts w:ascii="Times New Roman" w:hAnsi="Times New Roman" w:cs="Times New Roman"/>
          <w:sz w:val="24"/>
        </w:rPr>
        <w:t>NYSED.gov. (2013). NYS Nursing:P</w:t>
      </w:r>
      <w:r w:rsidRPr="00896CC2">
        <w:rPr>
          <w:rFonts w:ascii="Times New Roman" w:hAnsi="Times New Roman" w:cs="Times New Roman"/>
          <w:sz w:val="24"/>
        </w:rPr>
        <w:t>ractice Information:Collaborative Practice with Physicians. Retrieved September 30, 2019, from http://www.op.nysed.gov/prof/nurse/npcollab.htm</w:t>
      </w:r>
    </w:p>
    <w:p w:rsidR="00896CC2" w:rsidRPr="00896CC2" w:rsidRDefault="00445604" w:rsidP="00896CC2">
      <w:pPr>
        <w:pStyle w:val="Bibliography"/>
        <w:rPr>
          <w:rFonts w:ascii="Times New Roman" w:hAnsi="Times New Roman" w:cs="Times New Roman"/>
          <w:sz w:val="24"/>
        </w:rPr>
      </w:pPr>
      <w:r w:rsidRPr="00896CC2">
        <w:rPr>
          <w:rFonts w:ascii="Times New Roman" w:hAnsi="Times New Roman" w:cs="Times New Roman"/>
          <w:sz w:val="24"/>
        </w:rPr>
        <w:t>Ortiz, J., Hofler, R., Bushy, A., Lin, Y., Khanijahani, A., &amp; Bitney, A. (2018). Impact of Nurse Practitioner Pra</w:t>
      </w:r>
      <w:r w:rsidRPr="00896CC2">
        <w:rPr>
          <w:rFonts w:ascii="Times New Roman" w:hAnsi="Times New Roman" w:cs="Times New Roman"/>
          <w:sz w:val="24"/>
        </w:rPr>
        <w:t xml:space="preserve">ctice Regulations on Rural Population Health Outcomes. </w:t>
      </w:r>
      <w:r w:rsidRPr="00896CC2">
        <w:rPr>
          <w:rFonts w:ascii="Times New Roman" w:hAnsi="Times New Roman" w:cs="Times New Roman"/>
          <w:i/>
          <w:iCs/>
          <w:sz w:val="24"/>
        </w:rPr>
        <w:t>Healthcare</w:t>
      </w:r>
      <w:r w:rsidRPr="00896CC2">
        <w:rPr>
          <w:rFonts w:ascii="Times New Roman" w:hAnsi="Times New Roman" w:cs="Times New Roman"/>
          <w:sz w:val="24"/>
        </w:rPr>
        <w:t xml:space="preserve">, </w:t>
      </w:r>
      <w:r w:rsidRPr="00896CC2">
        <w:rPr>
          <w:rFonts w:ascii="Times New Roman" w:hAnsi="Times New Roman" w:cs="Times New Roman"/>
          <w:i/>
          <w:iCs/>
          <w:sz w:val="24"/>
        </w:rPr>
        <w:t>6</w:t>
      </w:r>
      <w:r w:rsidRPr="00896CC2">
        <w:rPr>
          <w:rFonts w:ascii="Times New Roman" w:hAnsi="Times New Roman" w:cs="Times New Roman"/>
          <w:sz w:val="24"/>
        </w:rPr>
        <w:t>(2). https://doi.org/10.3390/healthcare6020065</w:t>
      </w:r>
    </w:p>
    <w:p w:rsidR="00896CC2" w:rsidRPr="00896CC2" w:rsidRDefault="00445604" w:rsidP="00896CC2">
      <w:pPr>
        <w:pStyle w:val="Bibliography"/>
        <w:rPr>
          <w:rFonts w:ascii="Times New Roman" w:hAnsi="Times New Roman" w:cs="Times New Roman"/>
          <w:sz w:val="24"/>
        </w:rPr>
      </w:pPr>
      <w:r w:rsidRPr="00896CC2">
        <w:rPr>
          <w:rFonts w:ascii="Times New Roman" w:hAnsi="Times New Roman" w:cs="Times New Roman"/>
          <w:sz w:val="24"/>
        </w:rPr>
        <w:t>Poghosyan, L., Liu, J., Shang, J., &amp; D’Aunno, T. (2017). Practice environments and job satisfaction and turnover intentions of nurse practiti</w:t>
      </w:r>
      <w:r w:rsidRPr="00896CC2">
        <w:rPr>
          <w:rFonts w:ascii="Times New Roman" w:hAnsi="Times New Roman" w:cs="Times New Roman"/>
          <w:sz w:val="24"/>
        </w:rPr>
        <w:t xml:space="preserve">oners: Implications for primary care workforce capacity. </w:t>
      </w:r>
      <w:r w:rsidRPr="00896CC2">
        <w:rPr>
          <w:rFonts w:ascii="Times New Roman" w:hAnsi="Times New Roman" w:cs="Times New Roman"/>
          <w:i/>
          <w:iCs/>
          <w:sz w:val="24"/>
        </w:rPr>
        <w:t>Health Care Management Review</w:t>
      </w:r>
      <w:r w:rsidRPr="00896CC2">
        <w:rPr>
          <w:rFonts w:ascii="Times New Roman" w:hAnsi="Times New Roman" w:cs="Times New Roman"/>
          <w:sz w:val="24"/>
        </w:rPr>
        <w:t xml:space="preserve">, </w:t>
      </w:r>
      <w:r w:rsidRPr="00896CC2">
        <w:rPr>
          <w:rFonts w:ascii="Times New Roman" w:hAnsi="Times New Roman" w:cs="Times New Roman"/>
          <w:i/>
          <w:iCs/>
          <w:sz w:val="24"/>
        </w:rPr>
        <w:t>42</w:t>
      </w:r>
      <w:r w:rsidRPr="00896CC2">
        <w:rPr>
          <w:rFonts w:ascii="Times New Roman" w:hAnsi="Times New Roman" w:cs="Times New Roman"/>
          <w:sz w:val="24"/>
        </w:rPr>
        <w:t>(2), 162–171. https://doi.org/10.1097/HMR.0000000000000094</w:t>
      </w:r>
    </w:p>
    <w:p w:rsidR="00896CC2" w:rsidRDefault="00896CC2" w:rsidP="00896CC2">
      <w:pPr>
        <w:rPr>
          <w:rFonts w:ascii="Times New Roman" w:hAnsi="Times New Roman" w:cs="Times New Roman"/>
          <w:sz w:val="24"/>
          <w:szCs w:val="24"/>
        </w:rPr>
      </w:pPr>
    </w:p>
    <w:p w:rsidR="00896CC2" w:rsidRPr="00B01DC1" w:rsidRDefault="00896CC2">
      <w:pPr>
        <w:rPr>
          <w:rFonts w:ascii="Times New Roman" w:hAnsi="Times New Roman" w:cs="Times New Roman"/>
          <w:sz w:val="24"/>
          <w:szCs w:val="24"/>
        </w:rPr>
      </w:pPr>
    </w:p>
    <w:sectPr w:rsidR="00896CC2" w:rsidRPr="00B01DC1" w:rsidSect="00896CC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604" w:rsidRDefault="00445604">
      <w:pPr>
        <w:spacing w:after="0" w:line="240" w:lineRule="auto"/>
      </w:pPr>
      <w:r>
        <w:separator/>
      </w:r>
    </w:p>
  </w:endnote>
  <w:endnote w:type="continuationSeparator" w:id="0">
    <w:p w:rsidR="00445604" w:rsidRDefault="00445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604" w:rsidRDefault="00445604">
      <w:pPr>
        <w:spacing w:after="0" w:line="240" w:lineRule="auto"/>
      </w:pPr>
      <w:r>
        <w:separator/>
      </w:r>
    </w:p>
  </w:footnote>
  <w:footnote w:type="continuationSeparator" w:id="0">
    <w:p w:rsidR="00445604" w:rsidRDefault="00445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C2" w:rsidRDefault="00445604">
    <w:pPr>
      <w:pStyle w:val="Header"/>
    </w:pPr>
    <w:r>
      <w:rPr>
        <w:rFonts w:ascii="Times New Roman" w:hAnsi="Times New Roman" w:cs="Times New Roman"/>
        <w:sz w:val="24"/>
        <w:szCs w:val="24"/>
      </w:rPr>
      <w:t>NP REGULATIONS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</w:t>
    </w:r>
    <w:r w:rsidRPr="002652AD">
      <w:rPr>
        <w:rFonts w:ascii="Times New Roman" w:hAnsi="Times New Roman" w:cs="Times New Roman"/>
        <w:sz w:val="24"/>
        <w:szCs w:val="24"/>
      </w:rPr>
      <w:fldChar w:fldCharType="begin"/>
    </w:r>
    <w:r w:rsidRPr="002652A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652AD">
      <w:rPr>
        <w:rFonts w:ascii="Times New Roman" w:hAnsi="Times New Roman" w:cs="Times New Roman"/>
        <w:sz w:val="24"/>
        <w:szCs w:val="24"/>
      </w:rPr>
      <w:fldChar w:fldCharType="separate"/>
    </w:r>
    <w:r w:rsidR="002D7636">
      <w:rPr>
        <w:rFonts w:ascii="Times New Roman" w:hAnsi="Times New Roman" w:cs="Times New Roman"/>
        <w:noProof/>
        <w:sz w:val="24"/>
        <w:szCs w:val="24"/>
      </w:rPr>
      <w:t>4</w:t>
    </w:r>
    <w:r w:rsidRPr="002652A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CC2" w:rsidRPr="002652AD" w:rsidRDefault="00445604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NP REGULATIONS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</w:t>
    </w:r>
    <w:r w:rsidRPr="002652AD">
      <w:rPr>
        <w:rFonts w:ascii="Times New Roman" w:hAnsi="Times New Roman" w:cs="Times New Roman"/>
        <w:sz w:val="24"/>
        <w:szCs w:val="24"/>
      </w:rPr>
      <w:fldChar w:fldCharType="begin"/>
    </w:r>
    <w:r w:rsidRPr="002652A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652AD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2652A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DC1"/>
    <w:rsid w:val="00082531"/>
    <w:rsid w:val="000F6E61"/>
    <w:rsid w:val="00132514"/>
    <w:rsid w:val="001476B8"/>
    <w:rsid w:val="001C6A48"/>
    <w:rsid w:val="001E0722"/>
    <w:rsid w:val="002262B5"/>
    <w:rsid w:val="002652AD"/>
    <w:rsid w:val="002816EB"/>
    <w:rsid w:val="002D7636"/>
    <w:rsid w:val="002E7D85"/>
    <w:rsid w:val="002F4141"/>
    <w:rsid w:val="0031725F"/>
    <w:rsid w:val="00445604"/>
    <w:rsid w:val="00502F32"/>
    <w:rsid w:val="0057286F"/>
    <w:rsid w:val="005E0A9B"/>
    <w:rsid w:val="006459AD"/>
    <w:rsid w:val="0066159E"/>
    <w:rsid w:val="006962A7"/>
    <w:rsid w:val="00737CF9"/>
    <w:rsid w:val="0074776A"/>
    <w:rsid w:val="007A1A70"/>
    <w:rsid w:val="007F1870"/>
    <w:rsid w:val="0085282B"/>
    <w:rsid w:val="00896CC2"/>
    <w:rsid w:val="008F6DB4"/>
    <w:rsid w:val="00930CD7"/>
    <w:rsid w:val="009877F2"/>
    <w:rsid w:val="009B5B96"/>
    <w:rsid w:val="00A86A1D"/>
    <w:rsid w:val="00AF641F"/>
    <w:rsid w:val="00B01DC1"/>
    <w:rsid w:val="00B37898"/>
    <w:rsid w:val="00C523B6"/>
    <w:rsid w:val="00D80967"/>
    <w:rsid w:val="00D96169"/>
    <w:rsid w:val="00EE194F"/>
    <w:rsid w:val="00EE478A"/>
    <w:rsid w:val="00F31C6A"/>
    <w:rsid w:val="00FC7413"/>
    <w:rsid w:val="00FD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7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896CC2"/>
    <w:pPr>
      <w:spacing w:after="0" w:line="480" w:lineRule="auto"/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896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CC2"/>
  </w:style>
  <w:style w:type="paragraph" w:styleId="Footer">
    <w:name w:val="footer"/>
    <w:basedOn w:val="Normal"/>
    <w:link w:val="FooterChar"/>
    <w:uiPriority w:val="99"/>
    <w:unhideWhenUsed/>
    <w:rsid w:val="00896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C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7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unhideWhenUsed/>
    <w:rsid w:val="00896CC2"/>
    <w:pPr>
      <w:spacing w:after="0" w:line="480" w:lineRule="auto"/>
      <w:ind w:left="720" w:hanging="720"/>
    </w:pPr>
  </w:style>
  <w:style w:type="paragraph" w:styleId="Header">
    <w:name w:val="header"/>
    <w:basedOn w:val="Normal"/>
    <w:link w:val="HeaderChar"/>
    <w:uiPriority w:val="99"/>
    <w:unhideWhenUsed/>
    <w:rsid w:val="00896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CC2"/>
  </w:style>
  <w:style w:type="paragraph" w:styleId="Footer">
    <w:name w:val="footer"/>
    <w:basedOn w:val="Normal"/>
    <w:link w:val="FooterChar"/>
    <w:uiPriority w:val="99"/>
    <w:unhideWhenUsed/>
    <w:rsid w:val="00896C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2019-10-01T04:35:00Z</dcterms:created>
  <dcterms:modified xsi:type="dcterms:W3CDTF">2019-10-01T04:35:00Z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zotero-version="5.0.74"&gt;&lt;session id="SWAjPadR"/&gt;&lt;style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