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7EB3" w:rsidRDefault="00297EB3" w:rsidP="00297EB3">
      <w:pPr>
        <w:spacing w:after="0" w:line="240" w:lineRule="auto"/>
        <w:ind w:firstLine="0"/>
        <w:textAlignment w:val="baseline"/>
        <w:outlineLvl w:val="0"/>
        <w:rPr>
          <w:rFonts w:ascii="Lucida Sans Unicode" w:eastAsia="Times New Roman" w:hAnsi="Lucida Sans Unicode" w:cs="Lucida Sans Unicode"/>
          <w:color w:val="565A5C"/>
          <w:spacing w:val="3"/>
          <w:kern w:val="36"/>
          <w:sz w:val="48"/>
          <w:szCs w:val="48"/>
        </w:rPr>
      </w:pPr>
      <w:r w:rsidRPr="00297EB3">
        <w:rPr>
          <w:rFonts w:ascii="Lucida Sans Unicode" w:eastAsia="Times New Roman" w:hAnsi="Lucida Sans Unicode" w:cs="Lucida Sans Unicode"/>
          <w:color w:val="565A5C"/>
          <w:spacing w:val="3"/>
          <w:kern w:val="36"/>
          <w:sz w:val="48"/>
          <w:szCs w:val="48"/>
        </w:rPr>
        <w:t>Module Four</w:t>
      </w:r>
    </w:p>
    <w:p w:rsidR="00297EB3" w:rsidRDefault="00297EB3" w:rsidP="00297EB3">
      <w:pPr>
        <w:spacing w:after="0" w:line="240" w:lineRule="auto"/>
        <w:ind w:firstLine="0"/>
        <w:textAlignment w:val="baseline"/>
        <w:outlineLvl w:val="0"/>
        <w:rPr>
          <w:rFonts w:ascii="Lucida Sans Unicode" w:eastAsia="Times New Roman" w:hAnsi="Lucida Sans Unicode" w:cs="Lucida Sans Unicode"/>
          <w:color w:val="565A5C"/>
          <w:spacing w:val="3"/>
          <w:kern w:val="36"/>
          <w:sz w:val="48"/>
          <w:szCs w:val="48"/>
        </w:rPr>
      </w:pPr>
      <w:r>
        <w:rPr>
          <w:rFonts w:ascii="Lucida Sans Unicode" w:eastAsia="Times New Roman" w:hAnsi="Lucida Sans Unicode" w:cs="Lucida Sans Unicode"/>
          <w:color w:val="565A5C"/>
          <w:spacing w:val="3"/>
          <w:kern w:val="36"/>
          <w:sz w:val="48"/>
          <w:szCs w:val="48"/>
        </w:rPr>
        <w:t>Assignments due:  5/29 Discussion</w:t>
      </w:r>
    </w:p>
    <w:p w:rsidR="00297EB3" w:rsidRPr="00297EB3" w:rsidRDefault="00297EB3" w:rsidP="00297EB3">
      <w:pPr>
        <w:spacing w:after="0" w:line="240" w:lineRule="auto"/>
        <w:ind w:firstLine="0"/>
        <w:textAlignment w:val="baseline"/>
        <w:outlineLvl w:val="0"/>
        <w:rPr>
          <w:rFonts w:ascii="Lucida Sans Unicode" w:eastAsia="Times New Roman" w:hAnsi="Lucida Sans Unicode" w:cs="Lucida Sans Unicode"/>
          <w:color w:val="565A5C"/>
          <w:spacing w:val="3"/>
          <w:kern w:val="36"/>
          <w:sz w:val="48"/>
          <w:szCs w:val="48"/>
        </w:rPr>
      </w:pPr>
      <w:r>
        <w:rPr>
          <w:rFonts w:ascii="Lucida Sans Unicode" w:eastAsia="Times New Roman" w:hAnsi="Lucida Sans Unicode" w:cs="Lucida Sans Unicode"/>
          <w:color w:val="565A5C"/>
          <w:spacing w:val="3"/>
          <w:kern w:val="36"/>
          <w:sz w:val="48"/>
          <w:szCs w:val="48"/>
        </w:rPr>
        <w:tab/>
      </w:r>
      <w:r>
        <w:rPr>
          <w:rFonts w:ascii="Lucida Sans Unicode" w:eastAsia="Times New Roman" w:hAnsi="Lucida Sans Unicode" w:cs="Lucida Sans Unicode"/>
          <w:color w:val="565A5C"/>
          <w:spacing w:val="3"/>
          <w:kern w:val="36"/>
          <w:sz w:val="48"/>
          <w:szCs w:val="48"/>
        </w:rPr>
        <w:tab/>
      </w:r>
      <w:r>
        <w:rPr>
          <w:rFonts w:ascii="Lucida Sans Unicode" w:eastAsia="Times New Roman" w:hAnsi="Lucida Sans Unicode" w:cs="Lucida Sans Unicode"/>
          <w:color w:val="565A5C"/>
          <w:spacing w:val="3"/>
          <w:kern w:val="36"/>
          <w:sz w:val="48"/>
          <w:szCs w:val="48"/>
        </w:rPr>
        <w:tab/>
      </w:r>
      <w:r>
        <w:rPr>
          <w:rFonts w:ascii="Lucida Sans Unicode" w:eastAsia="Times New Roman" w:hAnsi="Lucida Sans Unicode" w:cs="Lucida Sans Unicode"/>
          <w:color w:val="565A5C"/>
          <w:spacing w:val="3"/>
          <w:kern w:val="36"/>
          <w:sz w:val="48"/>
          <w:szCs w:val="48"/>
        </w:rPr>
        <w:tab/>
      </w:r>
      <w:r>
        <w:rPr>
          <w:rFonts w:ascii="Lucida Sans Unicode" w:eastAsia="Times New Roman" w:hAnsi="Lucida Sans Unicode" w:cs="Lucida Sans Unicode"/>
          <w:color w:val="565A5C"/>
          <w:spacing w:val="3"/>
          <w:kern w:val="36"/>
          <w:sz w:val="48"/>
          <w:szCs w:val="48"/>
        </w:rPr>
        <w:tab/>
      </w:r>
      <w:r>
        <w:rPr>
          <w:rFonts w:ascii="Lucida Sans Unicode" w:eastAsia="Times New Roman" w:hAnsi="Lucida Sans Unicode" w:cs="Lucida Sans Unicode"/>
          <w:color w:val="565A5C"/>
          <w:spacing w:val="3"/>
          <w:kern w:val="36"/>
          <w:sz w:val="48"/>
          <w:szCs w:val="48"/>
        </w:rPr>
        <w:tab/>
        <w:t>6/1 Round 4</w:t>
      </w:r>
    </w:p>
    <w:p w:rsidR="00297EB3" w:rsidRPr="00297EB3" w:rsidRDefault="00297EB3" w:rsidP="00297EB3">
      <w:pPr>
        <w:spacing w:line="240" w:lineRule="auto"/>
        <w:ind w:firstLine="0"/>
        <w:textAlignment w:val="baseline"/>
        <w:rPr>
          <w:rFonts w:ascii="Lucida Sans Unicode" w:eastAsia="Times New Roman" w:hAnsi="Lucida Sans Unicode" w:cs="Lucida Sans Unicode"/>
          <w:color w:val="565A5C"/>
          <w:spacing w:val="3"/>
          <w:sz w:val="29"/>
          <w:szCs w:val="29"/>
        </w:rPr>
      </w:pPr>
    </w:p>
    <w:p w:rsidR="00297EB3" w:rsidRPr="00297EB3" w:rsidRDefault="00297EB3" w:rsidP="00297EB3">
      <w:pPr>
        <w:spacing w:line="0" w:lineRule="auto"/>
        <w:ind w:firstLine="0"/>
        <w:textAlignment w:val="baseline"/>
        <w:rPr>
          <w:rFonts w:ascii="Lucida Sans Unicode" w:eastAsia="Times New Roman" w:hAnsi="Lucida Sans Unicode" w:cs="Lucida Sans Unicode"/>
          <w:color w:val="565A5C"/>
          <w:spacing w:val="3"/>
          <w:sz w:val="29"/>
          <w:szCs w:val="29"/>
        </w:rPr>
      </w:pPr>
      <w:r w:rsidRPr="00297EB3">
        <w:rPr>
          <w:rFonts w:ascii="Lucida Sans Unicode" w:eastAsia="Times New Roman" w:hAnsi="Lucida Sans Unicode" w:cs="Lucida Sans Unicode"/>
          <w:color w:val="565A5C"/>
          <w:spacing w:val="3"/>
          <w:sz w:val="29"/>
          <w:szCs w:val="29"/>
        </w:rPr>
        <w:t>Print</w:t>
      </w:r>
    </w:p>
    <w:tbl>
      <w:tblPr>
        <w:tblW w:w="0" w:type="auto"/>
        <w:tblCellMar>
          <w:left w:w="0" w:type="dxa"/>
          <w:right w:w="0" w:type="dxa"/>
        </w:tblCellMar>
        <w:tblLook w:val="04A0" w:firstRow="1" w:lastRow="0" w:firstColumn="1" w:lastColumn="0" w:noHBand="0" w:noVBand="1"/>
      </w:tblPr>
      <w:tblGrid>
        <w:gridCol w:w="3240"/>
        <w:gridCol w:w="6120"/>
      </w:tblGrid>
      <w:tr w:rsidR="00297EB3" w:rsidRPr="00297EB3" w:rsidTr="00297EB3">
        <w:tc>
          <w:tcPr>
            <w:tcW w:w="750" w:type="pct"/>
            <w:shd w:val="clear" w:color="auto" w:fill="22376E"/>
            <w:hideMark/>
          </w:tcPr>
          <w:p w:rsidR="00297EB3" w:rsidRPr="00297EB3" w:rsidRDefault="00297EB3" w:rsidP="00297EB3">
            <w:pPr>
              <w:spacing w:after="0" w:line="240" w:lineRule="auto"/>
              <w:ind w:firstLine="0"/>
              <w:jc w:val="center"/>
              <w:rPr>
                <w:rFonts w:ascii="Times New Roman" w:eastAsia="Times New Roman" w:hAnsi="Times New Roman" w:cs="Times New Roman"/>
                <w:sz w:val="24"/>
                <w:szCs w:val="24"/>
              </w:rPr>
            </w:pPr>
            <w:r w:rsidRPr="00297EB3">
              <w:rPr>
                <w:rFonts w:ascii="Times New Roman" w:eastAsia="Times New Roman" w:hAnsi="Times New Roman" w:cs="Times New Roman"/>
                <w:noProof/>
                <w:sz w:val="24"/>
                <w:szCs w:val="24"/>
              </w:rPr>
              <w:drawing>
                <wp:inline distT="0" distB="0" distL="0" distR="0">
                  <wp:extent cx="2057400" cy="929640"/>
                  <wp:effectExtent l="0" t="0" r="0" b="3810"/>
                  <wp:docPr id="1" name="Picture 1" descr="https://learn.snhu.edu/d2l/lor/viewer/viewFile.d2lfile/6606/365/bus4.png?d2l_body_type=3&amp;ou=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earn.snhu.edu/d2l/lor/viewer/viewFile.d2lfile/6606/365/bus4.png?d2l_body_type=3&amp;ou=660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57400" cy="929640"/>
                          </a:xfrm>
                          <a:prstGeom prst="rect">
                            <a:avLst/>
                          </a:prstGeom>
                          <a:noFill/>
                          <a:ln>
                            <a:noFill/>
                          </a:ln>
                        </pic:spPr>
                      </pic:pic>
                    </a:graphicData>
                  </a:graphic>
                </wp:inline>
              </w:drawing>
            </w:r>
          </w:p>
        </w:tc>
        <w:tc>
          <w:tcPr>
            <w:tcW w:w="0" w:type="auto"/>
            <w:tcMar>
              <w:top w:w="0" w:type="dxa"/>
              <w:left w:w="300" w:type="dxa"/>
              <w:bottom w:w="0" w:type="dxa"/>
              <w:right w:w="300" w:type="dxa"/>
            </w:tcMar>
            <w:hideMark/>
          </w:tcPr>
          <w:p w:rsidR="00297EB3" w:rsidRPr="00297EB3" w:rsidRDefault="00297EB3" w:rsidP="00297EB3">
            <w:pPr>
              <w:spacing w:after="0" w:line="345" w:lineRule="atLeast"/>
              <w:ind w:firstLine="0"/>
              <w:outlineLvl w:val="2"/>
              <w:rPr>
                <w:rFonts w:ascii="Times New Roman" w:eastAsia="Times New Roman" w:hAnsi="Times New Roman" w:cs="Times New Roman"/>
                <w:b/>
                <w:bCs/>
                <w:sz w:val="29"/>
                <w:szCs w:val="29"/>
              </w:rPr>
            </w:pPr>
            <w:r w:rsidRPr="00297EB3">
              <w:rPr>
                <w:rFonts w:ascii="Times New Roman" w:eastAsia="Times New Roman" w:hAnsi="Times New Roman" w:cs="Times New Roman"/>
                <w:b/>
                <w:bCs/>
                <w:sz w:val="28"/>
                <w:szCs w:val="28"/>
                <w:bdr w:val="none" w:sz="0" w:space="0" w:color="auto" w:frame="1"/>
              </w:rPr>
              <w:t>Rationalizing Strategies for Capacity</w:t>
            </w:r>
          </w:p>
          <w:p w:rsidR="00297EB3" w:rsidRPr="00297EB3" w:rsidRDefault="00297EB3" w:rsidP="00297EB3">
            <w:pPr>
              <w:spacing w:before="120" w:after="240" w:line="240" w:lineRule="auto"/>
              <w:ind w:firstLine="0"/>
              <w:rPr>
                <w:rFonts w:ascii="Times New Roman" w:eastAsia="Times New Roman" w:hAnsi="Times New Roman" w:cs="Times New Roman"/>
                <w:sz w:val="29"/>
                <w:szCs w:val="29"/>
              </w:rPr>
            </w:pPr>
            <w:r w:rsidRPr="00297EB3">
              <w:rPr>
                <w:rFonts w:ascii="Times New Roman" w:eastAsia="Times New Roman" w:hAnsi="Times New Roman" w:cs="Times New Roman"/>
                <w:sz w:val="29"/>
                <w:szCs w:val="29"/>
              </w:rPr>
              <w:t>In this module, you will begin with an overview of capacity decisions that will affect the results of your company. Your Team Member Guide tells us the following:</w:t>
            </w:r>
          </w:p>
          <w:p w:rsidR="00297EB3" w:rsidRPr="00297EB3" w:rsidRDefault="00297EB3" w:rsidP="00297EB3">
            <w:pPr>
              <w:numPr>
                <w:ilvl w:val="0"/>
                <w:numId w:val="1"/>
              </w:numPr>
              <w:spacing w:after="0" w:line="240" w:lineRule="auto"/>
              <w:ind w:left="0"/>
              <w:rPr>
                <w:rFonts w:ascii="Times New Roman" w:eastAsia="Times New Roman" w:hAnsi="Times New Roman" w:cs="Times New Roman"/>
                <w:sz w:val="29"/>
                <w:szCs w:val="29"/>
              </w:rPr>
            </w:pPr>
            <w:r w:rsidRPr="00297EB3">
              <w:rPr>
                <w:rFonts w:ascii="Times New Roman" w:eastAsia="Times New Roman" w:hAnsi="Times New Roman" w:cs="Times New Roman"/>
                <w:sz w:val="29"/>
                <w:szCs w:val="29"/>
              </w:rPr>
              <w:t>First-shift capacity is defined as the number of units that can be produced on an assembly line in a single year with a daily eight-hour shift. An assembly line can produce up to twice its first-shift capacity with a second shift. An assembly line with a capacity of 2,000,000 units per year could produce 4,000,000 units with a second shift. However, second-shift labor costs are 50% higher than first-shift labor costs.</w:t>
            </w:r>
          </w:p>
          <w:p w:rsidR="00297EB3" w:rsidRPr="00297EB3" w:rsidRDefault="00297EB3" w:rsidP="00297EB3">
            <w:pPr>
              <w:numPr>
                <w:ilvl w:val="0"/>
                <w:numId w:val="2"/>
              </w:numPr>
              <w:spacing w:after="0" w:line="240" w:lineRule="auto"/>
              <w:ind w:left="0"/>
              <w:rPr>
                <w:rFonts w:ascii="Times New Roman" w:eastAsia="Times New Roman" w:hAnsi="Times New Roman" w:cs="Times New Roman"/>
                <w:sz w:val="29"/>
                <w:szCs w:val="29"/>
              </w:rPr>
            </w:pPr>
            <w:r w:rsidRPr="00297EB3">
              <w:rPr>
                <w:rFonts w:ascii="Times New Roman" w:eastAsia="Times New Roman" w:hAnsi="Times New Roman" w:cs="Times New Roman"/>
                <w:sz w:val="29"/>
                <w:szCs w:val="29"/>
              </w:rPr>
              <w:t>Each new unit of capacity costs $6.00 for the floor space plus $4.00 multiplied by the automation rating. The Production spreadsheet will calculate the cost and display it for you. Increases in capacity require a full year to take effect—increase it this year and use it next year.</w:t>
            </w:r>
          </w:p>
          <w:p w:rsidR="00297EB3" w:rsidRPr="00297EB3" w:rsidRDefault="00297EB3" w:rsidP="00297EB3">
            <w:pPr>
              <w:spacing w:after="0" w:line="240" w:lineRule="auto"/>
              <w:ind w:firstLine="0"/>
              <w:rPr>
                <w:rFonts w:ascii="Times New Roman" w:eastAsia="Times New Roman" w:hAnsi="Times New Roman" w:cs="Times New Roman"/>
                <w:sz w:val="29"/>
                <w:szCs w:val="29"/>
              </w:rPr>
            </w:pPr>
            <w:r w:rsidRPr="00297EB3">
              <w:rPr>
                <w:rFonts w:ascii="Times New Roman" w:eastAsia="Times New Roman" w:hAnsi="Times New Roman" w:cs="Times New Roman"/>
                <w:sz w:val="29"/>
                <w:szCs w:val="29"/>
              </w:rPr>
              <w:t>In addition, the dollar value limit of capacity and automation purchases is largely determined by the maximum amount of capital that can be raised through stock and bond issues plus excess working capital (see </w:t>
            </w:r>
            <w:hyperlink r:id="rId6" w:tgtFrame="_blank" w:history="1">
              <w:r w:rsidRPr="00297EB3">
                <w:rPr>
                  <w:rFonts w:ascii="Times New Roman" w:eastAsia="Times New Roman" w:hAnsi="Times New Roman" w:cs="Times New Roman"/>
                  <w:color w:val="006FBF"/>
                  <w:sz w:val="29"/>
                  <w:szCs w:val="29"/>
                  <w:u w:val="single"/>
                  <w:bdr w:val="none" w:sz="0" w:space="0" w:color="auto" w:frame="1"/>
                </w:rPr>
                <w:t>4.4 Finance</w:t>
              </w:r>
            </w:hyperlink>
            <w:r w:rsidRPr="00297EB3">
              <w:rPr>
                <w:rFonts w:ascii="Times New Roman" w:eastAsia="Times New Roman" w:hAnsi="Times New Roman" w:cs="Times New Roman"/>
                <w:sz w:val="29"/>
                <w:szCs w:val="29"/>
              </w:rPr>
              <w:t xml:space="preserve">). Capacity can be sold at the beginning </w:t>
            </w:r>
            <w:r w:rsidRPr="00297EB3">
              <w:rPr>
                <w:rFonts w:ascii="Times New Roman" w:eastAsia="Times New Roman" w:hAnsi="Times New Roman" w:cs="Times New Roman"/>
                <w:sz w:val="29"/>
                <w:szCs w:val="29"/>
              </w:rPr>
              <w:lastRenderedPageBreak/>
              <w:t xml:space="preserve">of the year for $0.65 on the dollar value of the original investment. You can replace the capacity in later years, but you </w:t>
            </w:r>
            <w:proofErr w:type="gramStart"/>
            <w:r w:rsidRPr="00297EB3">
              <w:rPr>
                <w:rFonts w:ascii="Times New Roman" w:eastAsia="Times New Roman" w:hAnsi="Times New Roman" w:cs="Times New Roman"/>
                <w:sz w:val="29"/>
                <w:szCs w:val="29"/>
              </w:rPr>
              <w:t>have to</w:t>
            </w:r>
            <w:proofErr w:type="gramEnd"/>
            <w:r w:rsidRPr="00297EB3">
              <w:rPr>
                <w:rFonts w:ascii="Times New Roman" w:eastAsia="Times New Roman" w:hAnsi="Times New Roman" w:cs="Times New Roman"/>
                <w:sz w:val="29"/>
                <w:szCs w:val="29"/>
              </w:rPr>
              <w:t xml:space="preserve"> pay full price. If you sell capacity for less than its depreciated value, you lose money, which is reflected as a write-off on your income statement. If you sell capacity for more than its depreciated value, you make a gain on the sale. This will be reflected as a negative write-off on the income statement (see </w:t>
            </w:r>
            <w:hyperlink r:id="rId7" w:tgtFrame="_blank" w:history="1">
              <w:r w:rsidRPr="00297EB3">
                <w:rPr>
                  <w:rFonts w:ascii="Times New Roman" w:eastAsia="Times New Roman" w:hAnsi="Times New Roman" w:cs="Times New Roman"/>
                  <w:color w:val="006FBF"/>
                  <w:sz w:val="29"/>
                  <w:szCs w:val="29"/>
                  <w:u w:val="single"/>
                  <w:bdr w:val="none" w:sz="0" w:space="0" w:color="auto" w:frame="1"/>
                </w:rPr>
                <w:t>6.3 Income Statement</w:t>
              </w:r>
            </w:hyperlink>
            <w:r w:rsidRPr="00297EB3">
              <w:rPr>
                <w:rFonts w:ascii="Times New Roman" w:eastAsia="Times New Roman" w:hAnsi="Times New Roman" w:cs="Times New Roman"/>
                <w:sz w:val="29"/>
                <w:szCs w:val="29"/>
              </w:rPr>
              <w:t>).</w:t>
            </w:r>
          </w:p>
        </w:tc>
      </w:tr>
    </w:tbl>
    <w:p w:rsidR="00417D82" w:rsidRDefault="00417D82"/>
    <w:p w:rsidR="00297EB3" w:rsidRDefault="00297EB3"/>
    <w:p w:rsidR="00297EB3" w:rsidRDefault="00297EB3">
      <w:pPr>
        <w:rPr>
          <w:b/>
        </w:rPr>
      </w:pPr>
      <w:r>
        <w:rPr>
          <w:b/>
        </w:rPr>
        <w:t>MODULE 4 OVERVIEW</w:t>
      </w:r>
    </w:p>
    <w:p w:rsidR="00297EB3" w:rsidRPr="00297EB3" w:rsidRDefault="00297EB3" w:rsidP="00297EB3">
      <w:pPr>
        <w:spacing w:before="100" w:beforeAutospacing="1" w:after="100" w:afterAutospacing="1" w:line="240" w:lineRule="auto"/>
        <w:ind w:firstLine="0"/>
        <w:rPr>
          <w:rFonts w:ascii="Arial" w:eastAsia="Times New Roman" w:hAnsi="Arial" w:cs="Arial"/>
          <w:color w:val="565A5C"/>
          <w:sz w:val="27"/>
          <w:szCs w:val="27"/>
        </w:rPr>
      </w:pPr>
      <w:r w:rsidRPr="00297EB3">
        <w:rPr>
          <w:rFonts w:ascii="Arial" w:eastAsia="Times New Roman" w:hAnsi="Arial" w:cs="Arial"/>
          <w:color w:val="565A5C"/>
          <w:sz w:val="27"/>
          <w:szCs w:val="27"/>
        </w:rPr>
        <w:t xml:space="preserve">If you sell all the capacity on an assembly line, </w:t>
      </w:r>
      <w:proofErr w:type="spellStart"/>
      <w:r w:rsidRPr="00297EB3">
        <w:rPr>
          <w:rFonts w:ascii="Arial" w:eastAsia="Times New Roman" w:hAnsi="Arial" w:cs="Arial"/>
          <w:color w:val="565A5C"/>
          <w:sz w:val="27"/>
          <w:szCs w:val="27"/>
        </w:rPr>
        <w:t>Capsim</w:t>
      </w:r>
      <w:proofErr w:type="spellEnd"/>
      <w:r w:rsidRPr="00297EB3">
        <w:rPr>
          <w:rFonts w:ascii="Arial" w:eastAsia="Times New Roman" w:hAnsi="Arial" w:cs="Arial"/>
          <w:color w:val="565A5C"/>
          <w:sz w:val="27"/>
          <w:szCs w:val="27"/>
        </w:rPr>
        <w:t xml:space="preserve"> interprets this as a liquidation instruction and will sell your remaining inventory for half the average cost of production. </w:t>
      </w:r>
      <w:proofErr w:type="spellStart"/>
      <w:r w:rsidRPr="00297EB3">
        <w:rPr>
          <w:rFonts w:ascii="Arial" w:eastAsia="Times New Roman" w:hAnsi="Arial" w:cs="Arial"/>
          <w:color w:val="565A5C"/>
          <w:sz w:val="27"/>
          <w:szCs w:val="27"/>
        </w:rPr>
        <w:t>Capsim</w:t>
      </w:r>
      <w:proofErr w:type="spellEnd"/>
      <w:r w:rsidRPr="00297EB3">
        <w:rPr>
          <w:rFonts w:ascii="Arial" w:eastAsia="Times New Roman" w:hAnsi="Arial" w:cs="Arial"/>
          <w:color w:val="565A5C"/>
          <w:sz w:val="27"/>
          <w:szCs w:val="27"/>
        </w:rPr>
        <w:t xml:space="preserve"> writes off the loss on your income statement. If you want to sell your inventory at full price, sell all but one unit of capacity.</w:t>
      </w:r>
    </w:p>
    <w:p w:rsidR="00297EB3" w:rsidRPr="00297EB3" w:rsidRDefault="00297EB3" w:rsidP="00297EB3">
      <w:pPr>
        <w:spacing w:before="100" w:beforeAutospacing="1" w:after="100" w:afterAutospacing="1" w:line="240" w:lineRule="auto"/>
        <w:ind w:firstLine="0"/>
        <w:rPr>
          <w:rFonts w:ascii="Arial" w:eastAsia="Times New Roman" w:hAnsi="Arial" w:cs="Arial"/>
          <w:color w:val="565A5C"/>
          <w:sz w:val="27"/>
          <w:szCs w:val="27"/>
        </w:rPr>
      </w:pPr>
      <w:r w:rsidRPr="00297EB3">
        <w:rPr>
          <w:rFonts w:ascii="Arial" w:eastAsia="Times New Roman" w:hAnsi="Arial" w:cs="Arial"/>
          <w:color w:val="565A5C"/>
          <w:sz w:val="27"/>
          <w:szCs w:val="27"/>
        </w:rPr>
        <w:t>It is important to understand that flexible capacity provides a firm with the ability to respond to a wide variety of future demand outcomes, but at the expense of the increased cost of acquiring flexible manufacturing capacity, as compared with dedicated or nonflexible capacity. We formulate the product-flexible manufacturing capacity investment decision as a two-stage stochastic program. In the first stage, the firm must make its investment decision in manufacturing capacity, before the resolution of uncertainty in product demand. In the second stage, after demand for products is known, the firm implements its production decisions, constrained by the first-stage investments (see </w:t>
      </w:r>
      <w:hyperlink r:id="rId8" w:tgtFrame="_blank" w:history="1">
        <w:r w:rsidRPr="00297EB3">
          <w:rPr>
            <w:rFonts w:ascii="Arial" w:eastAsia="Times New Roman" w:hAnsi="Arial" w:cs="Arial"/>
            <w:color w:val="0000FF"/>
            <w:sz w:val="27"/>
            <w:szCs w:val="27"/>
            <w:u w:val="single"/>
          </w:rPr>
          <w:t>Optimal Investment in Product-Flexible Manufacturing Capacity</w:t>
        </w:r>
      </w:hyperlink>
      <w:hyperlink r:id="rId9" w:history="1">
        <w:r w:rsidRPr="00297EB3">
          <w:rPr>
            <w:rFonts w:ascii="Arial" w:eastAsia="Times New Roman" w:hAnsi="Arial" w:cs="Arial"/>
            <w:color w:val="0000FF"/>
            <w:sz w:val="27"/>
            <w:szCs w:val="27"/>
            <w:u w:val="single"/>
          </w:rPr>
          <w:t> </w:t>
        </w:r>
      </w:hyperlink>
      <w:r w:rsidRPr="00297EB3">
        <w:rPr>
          <w:rFonts w:ascii="Arial" w:eastAsia="Times New Roman" w:hAnsi="Arial" w:cs="Arial"/>
          <w:color w:val="565A5C"/>
          <w:sz w:val="27"/>
          <w:szCs w:val="27"/>
        </w:rPr>
        <w:t>). In </w:t>
      </w:r>
      <w:r w:rsidRPr="00297EB3">
        <w:rPr>
          <w:rFonts w:ascii="Arial" w:eastAsia="Times New Roman" w:hAnsi="Arial" w:cs="Arial"/>
          <w:i/>
          <w:iCs/>
          <w:color w:val="565A5C"/>
          <w:sz w:val="27"/>
          <w:szCs w:val="27"/>
        </w:rPr>
        <w:t>Operations Management</w:t>
      </w:r>
      <w:r w:rsidRPr="00297EB3">
        <w:rPr>
          <w:rFonts w:ascii="Arial" w:eastAsia="Times New Roman" w:hAnsi="Arial" w:cs="Arial"/>
          <w:color w:val="565A5C"/>
          <w:sz w:val="27"/>
          <w:szCs w:val="27"/>
        </w:rPr>
        <w:t>, William Stevenson (2009) concisely states the following:</w:t>
      </w:r>
    </w:p>
    <w:p w:rsidR="00297EB3" w:rsidRPr="00297EB3" w:rsidRDefault="00297EB3" w:rsidP="00297EB3">
      <w:pPr>
        <w:spacing w:before="100" w:beforeAutospacing="1" w:after="100" w:afterAutospacing="1" w:line="240" w:lineRule="auto"/>
        <w:ind w:firstLine="0"/>
        <w:rPr>
          <w:rFonts w:ascii="Arial" w:eastAsia="Times New Roman" w:hAnsi="Arial" w:cs="Arial"/>
          <w:color w:val="565A5C"/>
          <w:sz w:val="27"/>
          <w:szCs w:val="27"/>
        </w:rPr>
      </w:pPr>
      <w:r w:rsidRPr="00297EB3">
        <w:rPr>
          <w:rFonts w:ascii="Arial" w:eastAsia="Times New Roman" w:hAnsi="Arial" w:cs="Arial"/>
          <w:color w:val="565A5C"/>
          <w:sz w:val="27"/>
          <w:szCs w:val="27"/>
        </w:rPr>
        <w:t>“Too much inventory</w:t>
      </w:r>
    </w:p>
    <w:p w:rsidR="00297EB3" w:rsidRPr="00297EB3" w:rsidRDefault="00297EB3" w:rsidP="00297EB3">
      <w:pPr>
        <w:numPr>
          <w:ilvl w:val="0"/>
          <w:numId w:val="3"/>
        </w:numPr>
        <w:spacing w:before="100" w:beforeAutospacing="1" w:after="100" w:afterAutospacing="1" w:line="240" w:lineRule="auto"/>
        <w:rPr>
          <w:rFonts w:ascii="Arial" w:eastAsia="Times New Roman" w:hAnsi="Arial" w:cs="Arial"/>
          <w:color w:val="565A5C"/>
          <w:sz w:val="27"/>
          <w:szCs w:val="27"/>
        </w:rPr>
      </w:pPr>
      <w:r w:rsidRPr="00297EB3">
        <w:rPr>
          <w:rFonts w:ascii="Arial" w:eastAsia="Times New Roman" w:hAnsi="Arial" w:cs="Arial"/>
          <w:color w:val="565A5C"/>
          <w:sz w:val="27"/>
          <w:szCs w:val="27"/>
        </w:rPr>
        <w:t>Tends to hide problems</w:t>
      </w:r>
    </w:p>
    <w:p w:rsidR="00297EB3" w:rsidRPr="00297EB3" w:rsidRDefault="00297EB3" w:rsidP="00297EB3">
      <w:pPr>
        <w:numPr>
          <w:ilvl w:val="0"/>
          <w:numId w:val="3"/>
        </w:numPr>
        <w:spacing w:before="100" w:beforeAutospacing="1" w:after="100" w:afterAutospacing="1" w:line="240" w:lineRule="auto"/>
        <w:rPr>
          <w:rFonts w:ascii="Arial" w:eastAsia="Times New Roman" w:hAnsi="Arial" w:cs="Arial"/>
          <w:color w:val="565A5C"/>
          <w:sz w:val="27"/>
          <w:szCs w:val="27"/>
        </w:rPr>
      </w:pPr>
      <w:r w:rsidRPr="00297EB3">
        <w:rPr>
          <w:rFonts w:ascii="Arial" w:eastAsia="Times New Roman" w:hAnsi="Arial" w:cs="Arial"/>
          <w:color w:val="565A5C"/>
          <w:sz w:val="27"/>
          <w:szCs w:val="27"/>
        </w:rPr>
        <w:t>Easier to live with problems than to eliminate them</w:t>
      </w:r>
    </w:p>
    <w:p w:rsidR="00297EB3" w:rsidRPr="00297EB3" w:rsidRDefault="00297EB3" w:rsidP="00297EB3">
      <w:pPr>
        <w:numPr>
          <w:ilvl w:val="0"/>
          <w:numId w:val="3"/>
        </w:numPr>
        <w:spacing w:before="100" w:beforeAutospacing="1" w:after="100" w:afterAutospacing="1" w:line="240" w:lineRule="auto"/>
        <w:rPr>
          <w:rFonts w:ascii="Arial" w:eastAsia="Times New Roman" w:hAnsi="Arial" w:cs="Arial"/>
          <w:color w:val="565A5C"/>
          <w:sz w:val="27"/>
          <w:szCs w:val="27"/>
        </w:rPr>
      </w:pPr>
      <w:r w:rsidRPr="00297EB3">
        <w:rPr>
          <w:rFonts w:ascii="Arial" w:eastAsia="Times New Roman" w:hAnsi="Arial" w:cs="Arial"/>
          <w:color w:val="565A5C"/>
          <w:sz w:val="27"/>
          <w:szCs w:val="27"/>
        </w:rPr>
        <w:t>Costly to maintain</w:t>
      </w:r>
    </w:p>
    <w:p w:rsidR="00297EB3" w:rsidRPr="00297EB3" w:rsidRDefault="00297EB3" w:rsidP="00297EB3">
      <w:pPr>
        <w:spacing w:before="100" w:beforeAutospacing="1" w:after="100" w:afterAutospacing="1" w:line="240" w:lineRule="auto"/>
        <w:ind w:firstLine="0"/>
        <w:rPr>
          <w:rFonts w:ascii="Arial" w:eastAsia="Times New Roman" w:hAnsi="Arial" w:cs="Arial"/>
          <w:color w:val="565A5C"/>
          <w:sz w:val="27"/>
          <w:szCs w:val="27"/>
        </w:rPr>
      </w:pPr>
      <w:r w:rsidRPr="00297EB3">
        <w:rPr>
          <w:rFonts w:ascii="Arial" w:eastAsia="Times New Roman" w:hAnsi="Arial" w:cs="Arial"/>
          <w:color w:val="565A5C"/>
          <w:sz w:val="27"/>
          <w:szCs w:val="27"/>
        </w:rPr>
        <w:lastRenderedPageBreak/>
        <w:t>Wise strategy</w:t>
      </w:r>
    </w:p>
    <w:p w:rsidR="00297EB3" w:rsidRPr="00297EB3" w:rsidRDefault="00297EB3" w:rsidP="00297EB3">
      <w:pPr>
        <w:numPr>
          <w:ilvl w:val="0"/>
          <w:numId w:val="4"/>
        </w:numPr>
        <w:spacing w:before="100" w:beforeAutospacing="1" w:after="100" w:afterAutospacing="1" w:line="240" w:lineRule="auto"/>
        <w:rPr>
          <w:rFonts w:ascii="Arial" w:eastAsia="Times New Roman" w:hAnsi="Arial" w:cs="Arial"/>
          <w:color w:val="565A5C"/>
          <w:sz w:val="27"/>
          <w:szCs w:val="27"/>
        </w:rPr>
      </w:pPr>
      <w:r w:rsidRPr="00297EB3">
        <w:rPr>
          <w:rFonts w:ascii="Arial" w:eastAsia="Times New Roman" w:hAnsi="Arial" w:cs="Arial"/>
          <w:color w:val="565A5C"/>
          <w:sz w:val="27"/>
          <w:szCs w:val="27"/>
        </w:rPr>
        <w:t>Reduce lot sizes</w:t>
      </w:r>
    </w:p>
    <w:p w:rsidR="00297EB3" w:rsidRPr="00297EB3" w:rsidRDefault="00297EB3" w:rsidP="00297EB3">
      <w:pPr>
        <w:numPr>
          <w:ilvl w:val="0"/>
          <w:numId w:val="4"/>
        </w:numPr>
        <w:spacing w:before="100" w:beforeAutospacing="1" w:after="100" w:afterAutospacing="1" w:line="240" w:lineRule="auto"/>
        <w:rPr>
          <w:rFonts w:ascii="Arial" w:eastAsia="Times New Roman" w:hAnsi="Arial" w:cs="Arial"/>
          <w:color w:val="565A5C"/>
          <w:sz w:val="27"/>
          <w:szCs w:val="27"/>
        </w:rPr>
      </w:pPr>
      <w:r w:rsidRPr="00297EB3">
        <w:rPr>
          <w:rFonts w:ascii="Arial" w:eastAsia="Times New Roman" w:hAnsi="Arial" w:cs="Arial"/>
          <w:color w:val="565A5C"/>
          <w:sz w:val="27"/>
          <w:szCs w:val="27"/>
        </w:rPr>
        <w:t>Reduce safety stock”</w:t>
      </w:r>
    </w:p>
    <w:p w:rsidR="00297EB3" w:rsidRPr="00297EB3" w:rsidRDefault="00297EB3" w:rsidP="00297EB3">
      <w:pPr>
        <w:spacing w:before="100" w:beforeAutospacing="1" w:after="100" w:afterAutospacing="1" w:line="240" w:lineRule="auto"/>
        <w:ind w:firstLine="0"/>
        <w:rPr>
          <w:rFonts w:ascii="Arial" w:eastAsia="Times New Roman" w:hAnsi="Arial" w:cs="Arial"/>
          <w:color w:val="565A5C"/>
          <w:sz w:val="27"/>
          <w:szCs w:val="27"/>
        </w:rPr>
      </w:pPr>
      <w:r w:rsidRPr="00297EB3">
        <w:rPr>
          <w:rFonts w:ascii="Arial" w:eastAsia="Times New Roman" w:hAnsi="Arial" w:cs="Arial"/>
          <w:color w:val="565A5C"/>
          <w:sz w:val="27"/>
          <w:szCs w:val="27"/>
        </w:rPr>
        <w:t>In </w:t>
      </w:r>
      <w:r w:rsidRPr="00297EB3">
        <w:rPr>
          <w:rFonts w:ascii="Arial" w:eastAsia="Times New Roman" w:hAnsi="Arial" w:cs="Arial"/>
          <w:i/>
          <w:iCs/>
          <w:color w:val="565A5C"/>
          <w:sz w:val="27"/>
          <w:szCs w:val="27"/>
        </w:rPr>
        <w:t>Capacity in Manufacturing</w:t>
      </w:r>
      <w:r w:rsidRPr="00297EB3">
        <w:rPr>
          <w:rFonts w:ascii="Arial" w:eastAsia="Times New Roman" w:hAnsi="Arial" w:cs="Arial"/>
          <w:color w:val="565A5C"/>
          <w:sz w:val="27"/>
          <w:szCs w:val="27"/>
        </w:rPr>
        <w:t> (1973), George Perry states that the information about the amount of available capacity and about the degree of its utilization is employed in many forms of economic analysis. Data on utilization—operating rates—have proven useful in explaining price movements and in forming projections of the future course of business capital investment.</w:t>
      </w:r>
    </w:p>
    <w:p w:rsidR="00297EB3" w:rsidRPr="00297EB3" w:rsidRDefault="00297EB3" w:rsidP="00297EB3">
      <w:pPr>
        <w:spacing w:before="100" w:beforeAutospacing="1" w:after="100" w:afterAutospacing="1" w:line="240" w:lineRule="auto"/>
        <w:ind w:firstLine="0"/>
        <w:rPr>
          <w:rFonts w:ascii="Arial" w:eastAsia="Times New Roman" w:hAnsi="Arial" w:cs="Arial"/>
          <w:color w:val="565A5C"/>
          <w:sz w:val="27"/>
          <w:szCs w:val="27"/>
        </w:rPr>
      </w:pPr>
      <w:r w:rsidRPr="00297EB3">
        <w:rPr>
          <w:rFonts w:ascii="Arial" w:eastAsia="Times New Roman" w:hAnsi="Arial" w:cs="Arial"/>
          <w:b/>
          <w:bCs/>
          <w:color w:val="565A5C"/>
          <w:sz w:val="27"/>
          <w:szCs w:val="27"/>
        </w:rPr>
        <w:t>Capacity in Manufacturing</w:t>
      </w:r>
      <w:r w:rsidRPr="00297EB3">
        <w:rPr>
          <w:rFonts w:ascii="Arial" w:eastAsia="Times New Roman" w:hAnsi="Arial" w:cs="Arial"/>
          <w:color w:val="565A5C"/>
          <w:sz w:val="27"/>
          <w:szCs w:val="27"/>
        </w:rPr>
        <w:br/>
        <w:t>George L. Perry</w:t>
      </w:r>
      <w:r w:rsidRPr="00297EB3">
        <w:rPr>
          <w:rFonts w:ascii="Arial" w:eastAsia="Times New Roman" w:hAnsi="Arial" w:cs="Arial"/>
          <w:color w:val="565A5C"/>
          <w:sz w:val="27"/>
          <w:szCs w:val="27"/>
        </w:rPr>
        <w:br/>
        <w:t>Brookings Papers on Economic Activity </w:t>
      </w:r>
      <w:r w:rsidRPr="00297EB3">
        <w:rPr>
          <w:rFonts w:ascii="Arial" w:eastAsia="Times New Roman" w:hAnsi="Arial" w:cs="Arial"/>
          <w:color w:val="565A5C"/>
          <w:sz w:val="27"/>
          <w:szCs w:val="27"/>
        </w:rPr>
        <w:br/>
        <w:t>Vol. 1973, No. 3 (1973), pp. 701-742 </w:t>
      </w:r>
      <w:r w:rsidRPr="00297EB3">
        <w:rPr>
          <w:rFonts w:ascii="Arial" w:eastAsia="Times New Roman" w:hAnsi="Arial" w:cs="Arial"/>
          <w:color w:val="565A5C"/>
          <w:sz w:val="27"/>
          <w:szCs w:val="27"/>
        </w:rPr>
        <w:br/>
        <w:t>Published by </w:t>
      </w:r>
      <w:hyperlink r:id="rId10" w:tgtFrame="_blank" w:history="1">
        <w:r w:rsidRPr="00297EB3">
          <w:rPr>
            <w:rFonts w:ascii="Arial" w:eastAsia="Times New Roman" w:hAnsi="Arial" w:cs="Arial"/>
            <w:color w:val="0000FF"/>
            <w:sz w:val="27"/>
            <w:szCs w:val="27"/>
            <w:u w:val="single"/>
          </w:rPr>
          <w:t>Brookings Institution Press</w:t>
        </w:r>
        <w:r w:rsidRPr="00297EB3">
          <w:rPr>
            <w:rFonts w:ascii="Arial" w:eastAsia="Times New Roman" w:hAnsi="Arial" w:cs="Arial"/>
            <w:color w:val="0000FF"/>
            <w:sz w:val="27"/>
            <w:szCs w:val="27"/>
            <w:u w:val="single"/>
          </w:rPr>
          <w:br/>
        </w:r>
      </w:hyperlink>
      <w:hyperlink r:id="rId11" w:tgtFrame="_blank" w:history="1">
        <w:r w:rsidRPr="00297EB3">
          <w:rPr>
            <w:rFonts w:ascii="Arial" w:eastAsia="Times New Roman" w:hAnsi="Arial" w:cs="Arial"/>
            <w:color w:val="0000FF"/>
            <w:sz w:val="27"/>
            <w:szCs w:val="27"/>
            <w:u w:val="single"/>
          </w:rPr>
          <w:t>Available through the Shapiro Library.</w:t>
        </w:r>
      </w:hyperlink>
      <w:r w:rsidRPr="00297EB3">
        <w:rPr>
          <w:rFonts w:ascii="Arial" w:eastAsia="Times New Roman" w:hAnsi="Arial" w:cs="Arial"/>
          <w:color w:val="565A5C"/>
          <w:sz w:val="27"/>
          <w:szCs w:val="27"/>
        </w:rPr>
        <w:t>.</w:t>
      </w:r>
    </w:p>
    <w:p w:rsidR="00297EB3" w:rsidRPr="00297EB3" w:rsidRDefault="00297EB3" w:rsidP="00297EB3">
      <w:pPr>
        <w:spacing w:before="100" w:beforeAutospacing="1" w:after="100" w:afterAutospacing="1" w:line="240" w:lineRule="auto"/>
        <w:ind w:firstLine="0"/>
        <w:rPr>
          <w:rFonts w:ascii="Arial" w:eastAsia="Times New Roman" w:hAnsi="Arial" w:cs="Arial"/>
          <w:color w:val="565A5C"/>
          <w:sz w:val="27"/>
          <w:szCs w:val="27"/>
        </w:rPr>
      </w:pPr>
      <w:r w:rsidRPr="00297EB3">
        <w:rPr>
          <w:rFonts w:ascii="Arial" w:eastAsia="Times New Roman" w:hAnsi="Arial" w:cs="Arial"/>
          <w:color w:val="565A5C"/>
          <w:sz w:val="27"/>
          <w:szCs w:val="27"/>
        </w:rPr>
        <w:t>When launching a new product, the manufacturing and marketing functions of a firm are required to jointly make critical decisions concerning the amount of manufacturing capacity to be acquired, and to elaborate policies for managing it over the product's life cycle. The time-varying demand profile caused by new-product diffusion phenomena, together with learning effects, causes the emergence of critical trade-off decisions among the options of increasing production capacity, delaying launch, increasing backlog, or accepting a significant amount of lost sales (</w:t>
      </w:r>
      <w:proofErr w:type="spellStart"/>
      <w:r w:rsidRPr="00297EB3">
        <w:rPr>
          <w:rFonts w:ascii="Arial" w:eastAsia="Times New Roman" w:hAnsi="Arial" w:cs="Arial"/>
          <w:color w:val="565A5C"/>
          <w:sz w:val="27"/>
          <w:szCs w:val="27"/>
        </w:rPr>
        <w:t>Valentini</w:t>
      </w:r>
      <w:proofErr w:type="spellEnd"/>
      <w:r w:rsidRPr="00297EB3">
        <w:rPr>
          <w:rFonts w:ascii="Arial" w:eastAsia="Times New Roman" w:hAnsi="Arial" w:cs="Arial"/>
          <w:color w:val="565A5C"/>
          <w:sz w:val="27"/>
          <w:szCs w:val="27"/>
        </w:rPr>
        <w:t xml:space="preserve"> &amp; </w:t>
      </w:r>
      <w:proofErr w:type="spellStart"/>
      <w:r w:rsidRPr="00297EB3">
        <w:rPr>
          <w:rFonts w:ascii="Arial" w:eastAsia="Times New Roman" w:hAnsi="Arial" w:cs="Arial"/>
          <w:color w:val="565A5C"/>
          <w:sz w:val="27"/>
          <w:szCs w:val="27"/>
        </w:rPr>
        <w:t>Cantamessa</w:t>
      </w:r>
      <w:proofErr w:type="spellEnd"/>
      <w:r w:rsidRPr="00297EB3">
        <w:rPr>
          <w:rFonts w:ascii="Arial" w:eastAsia="Times New Roman" w:hAnsi="Arial" w:cs="Arial"/>
          <w:color w:val="565A5C"/>
          <w:sz w:val="27"/>
          <w:szCs w:val="27"/>
        </w:rPr>
        <w:t>, (2000).</w:t>
      </w:r>
    </w:p>
    <w:p w:rsidR="00297EB3" w:rsidRPr="00297EB3" w:rsidRDefault="00297EB3" w:rsidP="00297EB3">
      <w:pPr>
        <w:spacing w:before="100" w:beforeAutospacing="1" w:after="100" w:afterAutospacing="1" w:line="240" w:lineRule="auto"/>
        <w:ind w:firstLine="0"/>
        <w:rPr>
          <w:rFonts w:ascii="Arial" w:eastAsia="Times New Roman" w:hAnsi="Arial" w:cs="Arial"/>
          <w:color w:val="565A5C"/>
          <w:sz w:val="27"/>
          <w:szCs w:val="27"/>
        </w:rPr>
      </w:pPr>
      <w:r w:rsidRPr="00297EB3">
        <w:rPr>
          <w:rFonts w:ascii="Arial" w:eastAsia="Times New Roman" w:hAnsi="Arial" w:cs="Arial"/>
          <w:i/>
          <w:iCs/>
          <w:color w:val="565A5C"/>
          <w:sz w:val="27"/>
          <w:szCs w:val="27"/>
        </w:rPr>
        <w:t>The International Journal of Production Economics</w:t>
      </w:r>
      <w:r w:rsidRPr="00297EB3">
        <w:rPr>
          <w:rFonts w:ascii="Arial" w:eastAsia="Times New Roman" w:hAnsi="Arial" w:cs="Arial"/>
          <w:color w:val="565A5C"/>
          <w:sz w:val="27"/>
          <w:szCs w:val="27"/>
        </w:rPr>
        <w:br/>
        <w:t>( </w:t>
      </w:r>
      <w:hyperlink r:id="rId12" w:tgtFrame="_blank" w:history="1">
        <w:r w:rsidRPr="00297EB3">
          <w:rPr>
            <w:rFonts w:ascii="Arial" w:eastAsia="Times New Roman" w:hAnsi="Arial" w:cs="Arial"/>
            <w:color w:val="0000FF"/>
            <w:sz w:val="27"/>
            <w:szCs w:val="27"/>
            <w:u w:val="single"/>
          </w:rPr>
          <w:t>http://www.sciencedirect.com/science/journal/09255273 </w:t>
        </w:r>
      </w:hyperlink>
      <w:r w:rsidRPr="00297EB3">
        <w:rPr>
          <w:rFonts w:ascii="Arial" w:eastAsia="Times New Roman" w:hAnsi="Arial" w:cs="Arial"/>
          <w:color w:val="565A5C"/>
          <w:sz w:val="27"/>
          <w:szCs w:val="27"/>
        </w:rPr>
        <w:t>) has extensive articles that can help you gain a deeper understanding of how capacity critical decisions concerning the amount of manufacturing capacity to be acquired, and how elaborating policies for managing it over the product's life cycle, may affect the decisions you make for Competitive Round 4.</w:t>
      </w:r>
    </w:p>
    <w:p w:rsidR="00297EB3" w:rsidRPr="00297EB3" w:rsidRDefault="00297EB3" w:rsidP="00297EB3">
      <w:pPr>
        <w:spacing w:before="100" w:beforeAutospacing="1" w:after="100" w:afterAutospacing="1" w:line="240" w:lineRule="auto"/>
        <w:ind w:firstLine="0"/>
        <w:outlineLvl w:val="2"/>
        <w:rPr>
          <w:rFonts w:ascii="Arial" w:eastAsia="Times New Roman" w:hAnsi="Arial" w:cs="Arial"/>
          <w:b/>
          <w:bCs/>
          <w:color w:val="565A5C"/>
          <w:sz w:val="27"/>
          <w:szCs w:val="27"/>
        </w:rPr>
      </w:pPr>
      <w:r w:rsidRPr="00297EB3">
        <w:rPr>
          <w:rFonts w:ascii="Arial" w:eastAsia="Times New Roman" w:hAnsi="Arial" w:cs="Arial"/>
          <w:b/>
          <w:bCs/>
          <w:color w:val="565A5C"/>
          <w:sz w:val="27"/>
          <w:szCs w:val="27"/>
        </w:rPr>
        <w:t>Total Quality Management (TQM)</w:t>
      </w:r>
    </w:p>
    <w:p w:rsidR="00297EB3" w:rsidRPr="00297EB3" w:rsidRDefault="00297EB3" w:rsidP="00297EB3">
      <w:pPr>
        <w:spacing w:before="100" w:beforeAutospacing="1" w:after="100" w:afterAutospacing="1" w:line="240" w:lineRule="auto"/>
        <w:ind w:firstLine="0"/>
        <w:rPr>
          <w:rFonts w:ascii="Arial" w:eastAsia="Times New Roman" w:hAnsi="Arial" w:cs="Arial"/>
          <w:color w:val="565A5C"/>
          <w:sz w:val="27"/>
          <w:szCs w:val="27"/>
        </w:rPr>
      </w:pPr>
      <w:r w:rsidRPr="00297EB3">
        <w:rPr>
          <w:rFonts w:ascii="Arial" w:eastAsia="Times New Roman" w:hAnsi="Arial" w:cs="Arial"/>
          <w:color w:val="565A5C"/>
          <w:sz w:val="27"/>
          <w:szCs w:val="27"/>
        </w:rPr>
        <w:t xml:space="preserve">To TQM or not to TQM! That is of paramount importance in decision making for your business. Does it help if implemented? Does the cost of implementing the total concept of TQM outweigh the benefits, or vice versa? Do we have an in-house expert who can effectively implement the TQM principles, or is this an external cost? Before you can begin to answer those questions, and many more that arrive in the TQM process, you as the business leader(s) must gain </w:t>
      </w:r>
      <w:r w:rsidRPr="00297EB3">
        <w:rPr>
          <w:rFonts w:ascii="Arial" w:eastAsia="Times New Roman" w:hAnsi="Arial" w:cs="Arial"/>
          <w:color w:val="565A5C"/>
          <w:sz w:val="27"/>
          <w:szCs w:val="27"/>
        </w:rPr>
        <w:lastRenderedPageBreak/>
        <w:t xml:space="preserve">a solid understanding of TQM and the principles associated with that specific process. Does implementing an effective TQM program </w:t>
      </w:r>
      <w:proofErr w:type="gramStart"/>
      <w:r w:rsidRPr="00297EB3">
        <w:rPr>
          <w:rFonts w:ascii="Arial" w:eastAsia="Times New Roman" w:hAnsi="Arial" w:cs="Arial"/>
          <w:color w:val="565A5C"/>
          <w:sz w:val="27"/>
          <w:szCs w:val="27"/>
        </w:rPr>
        <w:t>actually improve</w:t>
      </w:r>
      <w:proofErr w:type="gramEnd"/>
      <w:r w:rsidRPr="00297EB3">
        <w:rPr>
          <w:rFonts w:ascii="Arial" w:eastAsia="Times New Roman" w:hAnsi="Arial" w:cs="Arial"/>
          <w:color w:val="565A5C"/>
          <w:sz w:val="27"/>
          <w:szCs w:val="27"/>
        </w:rPr>
        <w:t xml:space="preserve"> operating performance? This question was asked in a study conducted by Hendricks and Singhal (1997) published in </w:t>
      </w:r>
      <w:r w:rsidRPr="00297EB3">
        <w:rPr>
          <w:rFonts w:ascii="Arial" w:eastAsia="Times New Roman" w:hAnsi="Arial" w:cs="Arial"/>
          <w:i/>
          <w:iCs/>
          <w:color w:val="565A5C"/>
          <w:sz w:val="27"/>
          <w:szCs w:val="27"/>
        </w:rPr>
        <w:t>Management Science</w:t>
      </w:r>
      <w:r w:rsidRPr="00297EB3">
        <w:rPr>
          <w:rFonts w:ascii="Arial" w:eastAsia="Times New Roman" w:hAnsi="Arial" w:cs="Arial"/>
          <w:color w:val="565A5C"/>
          <w:sz w:val="27"/>
          <w:szCs w:val="27"/>
        </w:rPr>
        <w:t>; they stated:</w:t>
      </w:r>
    </w:p>
    <w:p w:rsidR="00297EB3" w:rsidRPr="00297EB3" w:rsidRDefault="00297EB3" w:rsidP="00297EB3">
      <w:pPr>
        <w:spacing w:before="100" w:beforeAutospacing="1" w:after="100" w:afterAutospacing="1" w:line="240" w:lineRule="auto"/>
        <w:ind w:firstLine="0"/>
        <w:rPr>
          <w:rFonts w:ascii="Arial" w:eastAsia="Times New Roman" w:hAnsi="Arial" w:cs="Arial"/>
          <w:color w:val="565A5C"/>
          <w:sz w:val="27"/>
          <w:szCs w:val="27"/>
        </w:rPr>
      </w:pPr>
      <w:r w:rsidRPr="00297EB3">
        <w:rPr>
          <w:rFonts w:ascii="Arial" w:eastAsia="Times New Roman" w:hAnsi="Arial" w:cs="Arial"/>
          <w:color w:val="565A5C"/>
          <w:sz w:val="27"/>
          <w:szCs w:val="27"/>
        </w:rPr>
        <w:t xml:space="preserve">This study explores the hypotheses that implementing effective total quality management (TQM) programs improves the operating performance of firms. The winning of quality awards is used as a proxy for the effective implementation of TQM programs. Changes in various performance measures for a test sample of quality-award winners are compared against a sample of control firms. Our statistical tests provide strong evidence that firms that have won quality awards outperform the control firms on operating income-based measures. Over a 10-year period, from 6 years before to 3 years after the year of winning the first quality award, the mean (median) change in the operating income for the test sample is 107% (48%) higher than that of the control sample. There is reasonably strong evidence that firms that have won quality awards do better on sales growth than the control firms. Over the 10-year period, the mean (median) change in sales for the test sample is 64% (24%) higher than that of the control sample. We also find weak evidence that firms in our test sample are more successful in controlling costs when compared with the firms in the control sample. In addition, the results indicate that firms in our test sample increased their capital expenditures more than the control sample over the </w:t>
      </w:r>
      <w:proofErr w:type="gramStart"/>
      <w:r w:rsidRPr="00297EB3">
        <w:rPr>
          <w:rFonts w:ascii="Arial" w:eastAsia="Times New Roman" w:hAnsi="Arial" w:cs="Arial"/>
          <w:color w:val="565A5C"/>
          <w:sz w:val="27"/>
          <w:szCs w:val="27"/>
        </w:rPr>
        <w:t>time period</w:t>
      </w:r>
      <w:proofErr w:type="gramEnd"/>
      <w:r w:rsidRPr="00297EB3">
        <w:rPr>
          <w:rFonts w:ascii="Arial" w:eastAsia="Times New Roman" w:hAnsi="Arial" w:cs="Arial"/>
          <w:color w:val="565A5C"/>
          <w:sz w:val="27"/>
          <w:szCs w:val="27"/>
        </w:rPr>
        <w:t xml:space="preserve"> prior to winning quality awards. Compared with the control sample, the test sample shows higher growth in both employment and total assets. (pp. 1258–1274)</w:t>
      </w:r>
    </w:p>
    <w:p w:rsidR="00297EB3" w:rsidRPr="00297EB3" w:rsidRDefault="00297EB3" w:rsidP="00297EB3">
      <w:pPr>
        <w:spacing w:before="100" w:beforeAutospacing="1" w:after="100" w:afterAutospacing="1" w:line="240" w:lineRule="auto"/>
        <w:ind w:firstLine="0"/>
        <w:rPr>
          <w:rFonts w:ascii="Arial" w:eastAsia="Times New Roman" w:hAnsi="Arial" w:cs="Arial"/>
          <w:color w:val="565A5C"/>
          <w:sz w:val="27"/>
          <w:szCs w:val="27"/>
        </w:rPr>
      </w:pPr>
      <w:r w:rsidRPr="00297EB3">
        <w:rPr>
          <w:rFonts w:ascii="Arial" w:eastAsia="Times New Roman" w:hAnsi="Arial" w:cs="Arial"/>
          <w:color w:val="565A5C"/>
          <w:sz w:val="27"/>
          <w:szCs w:val="27"/>
        </w:rPr>
        <w:t>Another source to review is the article written by Simon Black and Leslie Porter, titled “ </w:t>
      </w:r>
      <w:hyperlink r:id="rId13" w:tgtFrame="_blank" w:history="1">
        <w:r w:rsidRPr="00297EB3">
          <w:rPr>
            <w:rFonts w:ascii="Arial" w:eastAsia="Times New Roman" w:hAnsi="Arial" w:cs="Arial"/>
            <w:color w:val="0000FF"/>
            <w:sz w:val="27"/>
            <w:szCs w:val="27"/>
            <w:u w:val="single"/>
          </w:rPr>
          <w:t>Identification of the Critical Success Factors of TQM</w:t>
        </w:r>
      </w:hyperlink>
      <w:r w:rsidRPr="00297EB3">
        <w:rPr>
          <w:rFonts w:ascii="Arial" w:eastAsia="Times New Roman" w:hAnsi="Arial" w:cs="Arial"/>
          <w:color w:val="565A5C"/>
          <w:sz w:val="27"/>
          <w:szCs w:val="27"/>
        </w:rPr>
        <w:t>,” in which the authors state:</w:t>
      </w:r>
    </w:p>
    <w:p w:rsidR="00297EB3" w:rsidRPr="00297EB3" w:rsidRDefault="00297EB3" w:rsidP="00297EB3">
      <w:pPr>
        <w:spacing w:before="100" w:beforeAutospacing="1" w:after="100" w:afterAutospacing="1" w:line="240" w:lineRule="auto"/>
        <w:ind w:firstLine="0"/>
        <w:rPr>
          <w:rFonts w:ascii="Arial" w:eastAsia="Times New Roman" w:hAnsi="Arial" w:cs="Arial"/>
          <w:color w:val="565A5C"/>
          <w:sz w:val="27"/>
          <w:szCs w:val="27"/>
        </w:rPr>
      </w:pPr>
      <w:r w:rsidRPr="00297EB3">
        <w:rPr>
          <w:rFonts w:ascii="Arial" w:eastAsia="Times New Roman" w:hAnsi="Arial" w:cs="Arial"/>
          <w:color w:val="565A5C"/>
          <w:sz w:val="27"/>
          <w:szCs w:val="27"/>
        </w:rPr>
        <w:t>Current concepts in the field of Total Quality Management (TQM) are largely based upon case studies, anecdotal evidence and the prescriptions of leading “gurus.” Consequently, there is little consensus on which factors are critical to the success of the approach. Few attempts have been made to scientifically synthesize frameworks for measuring quality management practices, and a methodology for examining the issue has yet to be established. This has meant that current TQM models, such as the Malcolm Baldrige Award, have not been constructed or validated by empirical means. This paper presents a research methodology that can be used to improve self-assessment frameworks, such as the Baldrige Award, to better inform organizations in the development of Total Quality Systems. (1996, para. 1)</w:t>
      </w:r>
    </w:p>
    <w:p w:rsidR="00297EB3" w:rsidRPr="00297EB3" w:rsidRDefault="00297EB3" w:rsidP="00297EB3">
      <w:pPr>
        <w:spacing w:before="100" w:beforeAutospacing="1" w:after="100" w:afterAutospacing="1" w:line="240" w:lineRule="auto"/>
        <w:ind w:firstLine="0"/>
        <w:rPr>
          <w:rFonts w:ascii="Arial" w:eastAsia="Times New Roman" w:hAnsi="Arial" w:cs="Arial"/>
          <w:color w:val="565A5C"/>
          <w:sz w:val="27"/>
          <w:szCs w:val="27"/>
        </w:rPr>
      </w:pPr>
      <w:r w:rsidRPr="00297EB3">
        <w:rPr>
          <w:rFonts w:ascii="Arial" w:eastAsia="Times New Roman" w:hAnsi="Arial" w:cs="Arial"/>
          <w:color w:val="565A5C"/>
          <w:sz w:val="27"/>
          <w:szCs w:val="27"/>
        </w:rPr>
        <w:lastRenderedPageBreak/>
        <w:t>This decision is not to be taken lightly. It is a cost to your business, it may not improve the quality of your product production, and therefore it may not increase sales. However, if we turn that around, the TQM process, if implemented properly, may improve all areas of your business, not just the product line but administrative innovations as well.</w:t>
      </w:r>
    </w:p>
    <w:p w:rsidR="00297EB3" w:rsidRPr="00297EB3" w:rsidRDefault="00297EB3" w:rsidP="00297EB3">
      <w:pPr>
        <w:spacing w:before="100" w:beforeAutospacing="1" w:after="100" w:afterAutospacing="1" w:line="240" w:lineRule="auto"/>
        <w:ind w:firstLine="0"/>
        <w:rPr>
          <w:rFonts w:ascii="Arial" w:eastAsia="Times New Roman" w:hAnsi="Arial" w:cs="Arial"/>
          <w:color w:val="565A5C"/>
          <w:sz w:val="27"/>
          <w:szCs w:val="27"/>
        </w:rPr>
      </w:pPr>
      <w:r w:rsidRPr="00297EB3">
        <w:rPr>
          <w:rFonts w:ascii="Arial" w:eastAsia="Times New Roman" w:hAnsi="Arial" w:cs="Arial"/>
          <w:color w:val="565A5C"/>
          <w:sz w:val="27"/>
          <w:szCs w:val="27"/>
        </w:rPr>
        <w:t>Within this context, an excellent resource is “ </w:t>
      </w:r>
      <w:hyperlink r:id="rId14" w:tgtFrame="_blank" w:history="1">
        <w:r w:rsidRPr="00297EB3">
          <w:rPr>
            <w:rFonts w:ascii="Arial" w:eastAsia="Times New Roman" w:hAnsi="Arial" w:cs="Arial"/>
            <w:color w:val="0000FF"/>
            <w:sz w:val="27"/>
            <w:szCs w:val="27"/>
            <w:u w:val="single"/>
          </w:rPr>
          <w:t>Development and Validation of TQM Implementation Constructs</w:t>
        </w:r>
      </w:hyperlink>
      <w:r w:rsidRPr="00297EB3">
        <w:rPr>
          <w:rFonts w:ascii="Arial" w:eastAsia="Times New Roman" w:hAnsi="Arial" w:cs="Arial"/>
          <w:color w:val="565A5C"/>
          <w:sz w:val="27"/>
          <w:szCs w:val="27"/>
        </w:rPr>
        <w:t xml:space="preserve">” written by </w:t>
      </w:r>
      <w:proofErr w:type="spellStart"/>
      <w:r w:rsidRPr="00297EB3">
        <w:rPr>
          <w:rFonts w:ascii="Arial" w:eastAsia="Times New Roman" w:hAnsi="Arial" w:cs="Arial"/>
          <w:color w:val="565A5C"/>
          <w:sz w:val="27"/>
          <w:szCs w:val="27"/>
        </w:rPr>
        <w:t>Ahire</w:t>
      </w:r>
      <w:proofErr w:type="spellEnd"/>
      <w:r w:rsidRPr="00297EB3">
        <w:rPr>
          <w:rFonts w:ascii="Arial" w:eastAsia="Times New Roman" w:hAnsi="Arial" w:cs="Arial"/>
          <w:color w:val="565A5C"/>
          <w:sz w:val="27"/>
          <w:szCs w:val="27"/>
        </w:rPr>
        <w:t xml:space="preserve">, </w:t>
      </w:r>
      <w:proofErr w:type="spellStart"/>
      <w:r w:rsidRPr="00297EB3">
        <w:rPr>
          <w:rFonts w:ascii="Arial" w:eastAsia="Times New Roman" w:hAnsi="Arial" w:cs="Arial"/>
          <w:color w:val="565A5C"/>
          <w:sz w:val="27"/>
          <w:szCs w:val="27"/>
        </w:rPr>
        <w:t>Golhar</w:t>
      </w:r>
      <w:proofErr w:type="spellEnd"/>
      <w:r w:rsidRPr="00297EB3">
        <w:rPr>
          <w:rFonts w:ascii="Arial" w:eastAsia="Times New Roman" w:hAnsi="Arial" w:cs="Arial"/>
          <w:color w:val="565A5C"/>
          <w:sz w:val="27"/>
          <w:szCs w:val="27"/>
        </w:rPr>
        <w:t>, and Waller. Their research identifies 12 constructs of integrated QM strategies. Using a survey of 371 manufacturing firms, the authors empirically tested and validated the constructs. Finally, they used their research findings to suggest a framework to examine the effects of integrated QM strategies on a firm's product quality.</w:t>
      </w:r>
    </w:p>
    <w:p w:rsidR="00297EB3" w:rsidRDefault="00297EB3" w:rsidP="00297EB3">
      <w:pPr>
        <w:spacing w:before="100" w:beforeAutospacing="1" w:after="100" w:afterAutospacing="1" w:line="240" w:lineRule="auto"/>
        <w:ind w:firstLine="0"/>
        <w:rPr>
          <w:rFonts w:ascii="Arial" w:eastAsia="Times New Roman" w:hAnsi="Arial" w:cs="Arial"/>
          <w:color w:val="565A5C"/>
          <w:sz w:val="27"/>
          <w:szCs w:val="27"/>
        </w:rPr>
      </w:pPr>
      <w:r w:rsidRPr="00297EB3">
        <w:rPr>
          <w:rFonts w:ascii="Arial" w:eastAsia="Times New Roman" w:hAnsi="Arial" w:cs="Arial"/>
          <w:color w:val="565A5C"/>
          <w:sz w:val="27"/>
          <w:szCs w:val="27"/>
        </w:rPr>
        <w:t>Before making the decisions based on TQM in your simulation, read the sources identified above so that you can validate your decision by learning from others who have implemented TQM, whichever way you decide: to TQM or not to TQM!</w:t>
      </w:r>
    </w:p>
    <w:p w:rsidR="00DA0440" w:rsidRDefault="00DA0440" w:rsidP="00DA0440">
      <w:pPr>
        <w:spacing w:line="240" w:lineRule="auto"/>
        <w:textAlignment w:val="top"/>
        <w:rPr>
          <w:rFonts w:ascii="Lucida Sans Unicode" w:hAnsi="Lucida Sans Unicode" w:cs="Lucida Sans Unicode"/>
          <w:color w:val="565A5C"/>
          <w:spacing w:val="3"/>
          <w:sz w:val="29"/>
          <w:szCs w:val="29"/>
        </w:rPr>
      </w:pPr>
    </w:p>
    <w:p w:rsidR="00DA0440" w:rsidRDefault="00DA0440" w:rsidP="00DA0440">
      <w:pPr>
        <w:spacing w:line="240" w:lineRule="auto"/>
        <w:textAlignment w:val="top"/>
        <w:rPr>
          <w:rFonts w:ascii="Lucida Sans Unicode" w:hAnsi="Lucida Sans Unicode" w:cs="Lucida Sans Unicode"/>
          <w:color w:val="565A5C"/>
          <w:spacing w:val="3"/>
          <w:sz w:val="29"/>
          <w:szCs w:val="29"/>
        </w:rPr>
      </w:pPr>
    </w:p>
    <w:p w:rsidR="00DA0440" w:rsidRDefault="00DA0440" w:rsidP="00DA0440">
      <w:pPr>
        <w:spacing w:line="240" w:lineRule="auto"/>
        <w:textAlignment w:val="top"/>
        <w:rPr>
          <w:rFonts w:ascii="Lucida Sans Unicode" w:hAnsi="Lucida Sans Unicode" w:cs="Lucida Sans Unicode"/>
          <w:color w:val="565A5C"/>
          <w:spacing w:val="3"/>
          <w:sz w:val="29"/>
          <w:szCs w:val="29"/>
        </w:rPr>
      </w:pPr>
      <w:hyperlink r:id="rId15" w:tooltip="'4-1 Discussion: Debrief Rounds 2 and 3' - Discussion Topic" w:history="1">
        <w:r>
          <w:rPr>
            <w:rStyle w:val="Hyperlink"/>
            <w:rFonts w:ascii="Lucida Sans Unicode" w:hAnsi="Lucida Sans Unicode" w:cs="Lucida Sans Unicode"/>
            <w:color w:val="006FBF"/>
            <w:spacing w:val="3"/>
            <w:sz w:val="29"/>
            <w:szCs w:val="29"/>
            <w:bdr w:val="none" w:sz="0" w:space="0" w:color="auto" w:frame="1"/>
          </w:rPr>
          <w:t>4-1 Discussion: Debrief Rounds 2 and 3</w:t>
        </w:r>
      </w:hyperlink>
    </w:p>
    <w:p w:rsidR="00DA0440" w:rsidRDefault="00DA0440" w:rsidP="00DA0440">
      <w:pPr>
        <w:textAlignment w:val="top"/>
        <w:rPr>
          <w:rFonts w:ascii="Lucida Sans Unicode" w:hAnsi="Lucida Sans Unicode" w:cs="Lucida Sans Unicode"/>
          <w:color w:val="72777A"/>
          <w:spacing w:val="3"/>
          <w:sz w:val="29"/>
          <w:szCs w:val="29"/>
        </w:rPr>
      </w:pPr>
      <w:r>
        <w:rPr>
          <w:rFonts w:ascii="Lucida Sans Unicode" w:hAnsi="Lucida Sans Unicode" w:cs="Lucida Sans Unicode"/>
          <w:color w:val="72777A"/>
          <w:spacing w:val="3"/>
          <w:sz w:val="29"/>
          <w:szCs w:val="29"/>
        </w:rPr>
        <w:t>Discussion Topic</w:t>
      </w:r>
    </w:p>
    <w:p w:rsidR="00DA0440" w:rsidRDefault="00DA0440" w:rsidP="00DA0440">
      <w:pPr>
        <w:shd w:val="clear" w:color="auto" w:fill="FFFFFF"/>
        <w:textAlignment w:val="center"/>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 </w:t>
      </w:r>
    </w:p>
    <w:p w:rsidR="00DA0440" w:rsidRDefault="00DA0440" w:rsidP="00DA0440">
      <w:pPr>
        <w:shd w:val="clear" w:color="auto" w:fill="FFFFFF"/>
        <w:rPr>
          <w:rFonts w:ascii="Lucida Sans Unicode" w:hAnsi="Lucida Sans Unicode" w:cs="Lucida Sans Unicode"/>
          <w:color w:val="565A5C"/>
          <w:spacing w:val="3"/>
          <w:sz w:val="29"/>
          <w:szCs w:val="29"/>
        </w:rPr>
      </w:pPr>
      <w:r>
        <w:rPr>
          <w:rFonts w:ascii="Lucida Sans Unicode" w:hAnsi="Lucida Sans Unicode" w:cs="Lucida Sans Unicode"/>
          <w:noProof/>
          <w:color w:val="565A5C"/>
          <w:spacing w:val="3"/>
          <w:sz w:val="29"/>
          <w:szCs w:val="29"/>
        </w:rPr>
        <w:drawing>
          <wp:inline distT="0" distB="0" distL="0" distR="0">
            <wp:extent cx="7620" cy="7620"/>
            <wp:effectExtent l="0" t="0" r="0" b="0"/>
            <wp:docPr id="4" name="Picture 4" descr="Task: Reply to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sk: Reply to this topic"/>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DA0440" w:rsidRDefault="00DA0440" w:rsidP="00DA0440">
      <w:pPr>
        <w:pStyle w:val="z-TopofForm"/>
      </w:pPr>
      <w:r>
        <w:t>Top of Form</w:t>
      </w:r>
    </w:p>
    <w:p w:rsidR="00DA0440" w:rsidRDefault="00DA0440" w:rsidP="00DA0440">
      <w:pPr>
        <w:textAlignment w:val="center"/>
        <w:rPr>
          <w:rFonts w:ascii="Lucida Sans Unicode" w:hAnsi="Lucida Sans Unicode" w:cs="Lucida Sans Unicode"/>
          <w:color w:val="565A5C"/>
          <w:spacing w:val="3"/>
          <w:sz w:val="29"/>
          <w:szCs w:val="29"/>
        </w:rPr>
      </w:pPr>
      <w:r>
        <w:rPr>
          <w:rFonts w:ascii="Lucida Sans Unicode" w:hAnsi="Lucida Sans Unicode" w:cs="Lucida Sans Unicode"/>
          <w:noProof/>
          <w:color w:val="565A5C"/>
          <w:spacing w:val="3"/>
          <w:sz w:val="29"/>
          <w:szCs w:val="29"/>
        </w:rPr>
        <w:drawing>
          <wp:inline distT="0" distB="0" distL="0" distR="0">
            <wp:extent cx="7620" cy="7620"/>
            <wp:effectExtent l="0" t="0" r="0" b="0"/>
            <wp:docPr id="3" name="Picture 3" descr="https://learn.snhu.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earn.snhu.edu/d2l/img/lp/pixel.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Pr>
          <w:rFonts w:ascii="Lucida Sans Unicode" w:hAnsi="Lucida Sans Unicode" w:cs="Lucida Sans Unicode"/>
          <w:color w:val="565A5C"/>
          <w:spacing w:val="3"/>
          <w:sz w:val="29"/>
          <w:szCs w:val="29"/>
        </w:rPr>
        <w:t> </w:t>
      </w:r>
      <w:r>
        <w:rPr>
          <w:rStyle w:val="d2l-textblock"/>
          <w:rFonts w:ascii="Lucida Sans Unicode" w:hAnsi="Lucida Sans Unicode" w:cs="Lucida Sans Unicode"/>
          <w:color w:val="565A5C"/>
          <w:spacing w:val="3"/>
          <w:sz w:val="29"/>
          <w:szCs w:val="29"/>
          <w:bdr w:val="none" w:sz="0" w:space="0" w:color="auto" w:frame="1"/>
        </w:rPr>
        <w:t>Starts May 25, 2019 11:59 PM</w:t>
      </w:r>
    </w:p>
    <w:p w:rsidR="00DA0440" w:rsidRDefault="00DA0440" w:rsidP="00DA0440">
      <w:pPr>
        <w:pStyle w:val="z-BottomofForm"/>
      </w:pPr>
      <w:r>
        <w:t>Bottom of Form</w:t>
      </w:r>
    </w:p>
    <w:p w:rsidR="00DA0440" w:rsidRDefault="00DA0440" w:rsidP="00DA0440">
      <w:pPr>
        <w:pStyle w:val="NormalWeb"/>
        <w:spacing w:before="120" w:beforeAutospacing="0" w:after="240" w:afterAutospacing="0"/>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In this discussion topic, debrief your Competitive Rounds 2 and 3. What have you learned from your decisions and rationale for the solutions you implemented in Rounds 2 and 3? What do your reports tell? In particular, focus your responses using the following sections from the Foundation FastTrack: production analysis and market share.</w:t>
      </w:r>
      <w:r>
        <w:rPr>
          <w:rFonts w:ascii="Lucida Sans Unicode" w:hAnsi="Lucida Sans Unicode" w:cs="Lucida Sans Unicode"/>
          <w:color w:val="565A5C"/>
          <w:spacing w:val="3"/>
          <w:sz w:val="29"/>
          <w:szCs w:val="29"/>
        </w:rPr>
        <w:br/>
      </w:r>
      <w:r>
        <w:rPr>
          <w:rFonts w:ascii="Lucida Sans Unicode" w:hAnsi="Lucida Sans Unicode" w:cs="Lucida Sans Unicode"/>
          <w:color w:val="565A5C"/>
          <w:spacing w:val="3"/>
          <w:sz w:val="29"/>
          <w:szCs w:val="29"/>
        </w:rPr>
        <w:lastRenderedPageBreak/>
        <w:br/>
        <w:t xml:space="preserve">You should carefully review the Foundation FastTrack, as well as </w:t>
      </w:r>
      <w:proofErr w:type="gramStart"/>
      <w:r>
        <w:rPr>
          <w:rFonts w:ascii="Lucida Sans Unicode" w:hAnsi="Lucida Sans Unicode" w:cs="Lucida Sans Unicode"/>
          <w:color w:val="565A5C"/>
          <w:spacing w:val="3"/>
          <w:sz w:val="29"/>
          <w:szCs w:val="29"/>
        </w:rPr>
        <w:t>your</w:t>
      </w:r>
      <w:proofErr w:type="gramEnd"/>
      <w:r>
        <w:rPr>
          <w:rFonts w:ascii="Lucida Sans Unicode" w:hAnsi="Lucida Sans Unicode" w:cs="Lucida Sans Unicode"/>
          <w:color w:val="565A5C"/>
          <w:spacing w:val="3"/>
          <w:sz w:val="29"/>
          <w:szCs w:val="29"/>
        </w:rPr>
        <w:t xml:space="preserve"> debrief reports, for these rounds.</w:t>
      </w:r>
    </w:p>
    <w:p w:rsidR="00DA0440" w:rsidRDefault="00DA0440" w:rsidP="00297EB3">
      <w:pPr>
        <w:spacing w:before="100" w:beforeAutospacing="1" w:after="100" w:afterAutospacing="1" w:line="240" w:lineRule="auto"/>
        <w:ind w:firstLine="0"/>
        <w:rPr>
          <w:rFonts w:ascii="Arial" w:eastAsia="Times New Roman" w:hAnsi="Arial" w:cs="Arial"/>
          <w:color w:val="565A5C"/>
          <w:sz w:val="27"/>
          <w:szCs w:val="27"/>
        </w:rPr>
      </w:pPr>
    </w:p>
    <w:p w:rsidR="00DA0440" w:rsidRPr="00297EB3" w:rsidRDefault="00DA0440" w:rsidP="00297EB3">
      <w:pPr>
        <w:spacing w:before="100" w:beforeAutospacing="1" w:after="100" w:afterAutospacing="1" w:line="240" w:lineRule="auto"/>
        <w:ind w:firstLine="0"/>
        <w:rPr>
          <w:rFonts w:ascii="Arial" w:eastAsia="Times New Roman" w:hAnsi="Arial" w:cs="Arial"/>
          <w:color w:val="565A5C"/>
          <w:sz w:val="27"/>
          <w:szCs w:val="27"/>
        </w:rPr>
      </w:pPr>
    </w:p>
    <w:p w:rsidR="00297EB3" w:rsidRDefault="00297EB3" w:rsidP="00297EB3">
      <w:pPr>
        <w:pStyle w:val="Heading1"/>
        <w:spacing w:before="0" w:beforeAutospacing="0" w:after="0" w:afterAutospacing="0"/>
        <w:textAlignment w:val="baseline"/>
        <w:rPr>
          <w:b w:val="0"/>
          <w:bCs w:val="0"/>
        </w:rPr>
      </w:pPr>
      <w:r>
        <w:rPr>
          <w:b w:val="0"/>
          <w:bCs w:val="0"/>
        </w:rPr>
        <w:t xml:space="preserve">4-2 </w:t>
      </w:r>
      <w:proofErr w:type="spellStart"/>
      <w:r>
        <w:rPr>
          <w:b w:val="0"/>
          <w:bCs w:val="0"/>
        </w:rPr>
        <w:t>Capsim</w:t>
      </w:r>
      <w:proofErr w:type="spellEnd"/>
      <w:r>
        <w:rPr>
          <w:b w:val="0"/>
          <w:bCs w:val="0"/>
        </w:rPr>
        <w:t xml:space="preserve"> Competitive Round 4</w:t>
      </w:r>
    </w:p>
    <w:p w:rsidR="00297EB3" w:rsidRDefault="00297EB3" w:rsidP="00297EB3">
      <w:pPr>
        <w:textAlignment w:val="baseline"/>
        <w:rPr>
          <w:sz w:val="29"/>
          <w:szCs w:val="29"/>
        </w:rPr>
      </w:pPr>
      <w:r>
        <w:rPr>
          <w:sz w:val="29"/>
          <w:szCs w:val="29"/>
        </w:rPr>
        <w:t> </w:t>
      </w:r>
    </w:p>
    <w:p w:rsidR="00297EB3" w:rsidRDefault="0020330A" w:rsidP="00297EB3">
      <w:pPr>
        <w:textAlignment w:val="center"/>
        <w:rPr>
          <w:sz w:val="29"/>
          <w:szCs w:val="29"/>
        </w:rPr>
      </w:pPr>
      <w:hyperlink r:id="rId17" w:tooltip="Previous " w:history="1">
        <w:r w:rsidR="00297EB3">
          <w:rPr>
            <w:rStyle w:val="d2l-offscreen"/>
            <w:rFonts w:ascii="inherit" w:hAnsi="inherit"/>
            <w:b/>
            <w:bCs/>
            <w:color w:val="565A5C"/>
            <w:sz w:val="21"/>
            <w:szCs w:val="21"/>
            <w:bdr w:val="none" w:sz="0" w:space="0" w:color="auto" w:frame="1"/>
          </w:rPr>
          <w:t>Previous</w:t>
        </w:r>
        <w:r w:rsidR="00297EB3">
          <w:rPr>
            <w:rStyle w:val="Hyperlink"/>
            <w:rFonts w:ascii="inherit" w:hAnsi="inherit"/>
            <w:b/>
            <w:bCs/>
            <w:color w:val="565A5C"/>
            <w:sz w:val="29"/>
            <w:szCs w:val="29"/>
            <w:bdr w:val="single" w:sz="6" w:space="0" w:color="D3D9E3" w:frame="1"/>
            <w:shd w:val="clear" w:color="auto" w:fill="F2F3F5"/>
          </w:rPr>
          <w:t> </w:t>
        </w:r>
      </w:hyperlink>
      <w:hyperlink r:id="rId18" w:tooltip="Next" w:history="1">
        <w:r w:rsidR="00297EB3">
          <w:rPr>
            <w:rStyle w:val="d2l-offscreen"/>
            <w:rFonts w:ascii="inherit" w:hAnsi="inherit"/>
            <w:b/>
            <w:bCs/>
            <w:color w:val="565A5C"/>
            <w:sz w:val="21"/>
            <w:szCs w:val="21"/>
            <w:bdr w:val="none" w:sz="0" w:space="0" w:color="auto" w:frame="1"/>
          </w:rPr>
          <w:t>Next</w:t>
        </w:r>
        <w:r w:rsidR="00297EB3">
          <w:rPr>
            <w:rStyle w:val="Hyperlink"/>
            <w:rFonts w:ascii="inherit" w:hAnsi="inherit"/>
            <w:b/>
            <w:bCs/>
            <w:color w:val="565A5C"/>
            <w:sz w:val="29"/>
            <w:szCs w:val="29"/>
            <w:bdr w:val="single" w:sz="6" w:space="0" w:color="D3D9E3" w:frame="1"/>
            <w:shd w:val="clear" w:color="auto" w:fill="F2F3F5"/>
          </w:rPr>
          <w:t> </w:t>
        </w:r>
      </w:hyperlink>
    </w:p>
    <w:p w:rsidR="00297EB3" w:rsidRDefault="00297EB3" w:rsidP="00297EB3">
      <w:pPr>
        <w:pStyle w:val="Heading2"/>
        <w:spacing w:before="0"/>
        <w:ind w:right="90"/>
        <w:rPr>
          <w:sz w:val="36"/>
          <w:szCs w:val="36"/>
        </w:rPr>
      </w:pPr>
      <w:r>
        <w:t>Instructions</w:t>
      </w:r>
    </w:p>
    <w:p w:rsidR="00297EB3" w:rsidRDefault="00297EB3" w:rsidP="00297EB3">
      <w:pPr>
        <w:pStyle w:val="NormalWeb"/>
        <w:spacing w:before="0" w:beforeAutospacing="0" w:after="290" w:afterAutospacing="0"/>
        <w:rPr>
          <w:sz w:val="29"/>
          <w:szCs w:val="29"/>
        </w:rPr>
      </w:pPr>
      <w:r>
        <w:rPr>
          <w:sz w:val="29"/>
          <w:szCs w:val="29"/>
        </w:rPr>
        <w:t>In this module, you will be responsible for completing Competitive Round 4.</w:t>
      </w:r>
      <w:r>
        <w:rPr>
          <w:sz w:val="29"/>
          <w:szCs w:val="29"/>
        </w:rPr>
        <w:br/>
      </w:r>
      <w:r>
        <w:rPr>
          <w:sz w:val="29"/>
          <w:szCs w:val="29"/>
        </w:rPr>
        <w:br/>
        <w:t>Log in to </w:t>
      </w:r>
      <w:proofErr w:type="spellStart"/>
      <w:r>
        <w:rPr>
          <w:sz w:val="29"/>
          <w:szCs w:val="29"/>
        </w:rPr>
        <w:fldChar w:fldCharType="begin"/>
      </w:r>
      <w:r>
        <w:rPr>
          <w:sz w:val="29"/>
          <w:szCs w:val="29"/>
        </w:rPr>
        <w:instrText xml:space="preserve"> HYPERLINK "https://ww2.capsim.com/login/" \t "_blank" </w:instrText>
      </w:r>
      <w:r>
        <w:rPr>
          <w:sz w:val="29"/>
          <w:szCs w:val="29"/>
        </w:rPr>
        <w:fldChar w:fldCharType="separate"/>
      </w:r>
      <w:r>
        <w:rPr>
          <w:rStyle w:val="Hyperlink"/>
          <w:color w:val="006FBF"/>
          <w:sz w:val="29"/>
          <w:szCs w:val="29"/>
          <w:bdr w:val="none" w:sz="0" w:space="0" w:color="auto" w:frame="1"/>
        </w:rPr>
        <w:t>Capsim</w:t>
      </w:r>
      <w:proofErr w:type="spellEnd"/>
      <w:r>
        <w:rPr>
          <w:sz w:val="29"/>
          <w:szCs w:val="29"/>
        </w:rPr>
        <w:fldChar w:fldCharType="end"/>
      </w:r>
      <w:r>
        <w:rPr>
          <w:sz w:val="29"/>
          <w:szCs w:val="29"/>
        </w:rPr>
        <w:t>. Remember to save your work as you go and to “Update Official Decisions” when you are done.</w:t>
      </w:r>
      <w:r>
        <w:rPr>
          <w:sz w:val="29"/>
          <w:szCs w:val="29"/>
        </w:rPr>
        <w:br/>
      </w:r>
      <w:r>
        <w:rPr>
          <w:sz w:val="29"/>
          <w:szCs w:val="29"/>
        </w:rPr>
        <w:br/>
      </w:r>
      <w:r>
        <w:rPr>
          <w:noProof/>
          <w:sz w:val="29"/>
          <w:szCs w:val="29"/>
        </w:rPr>
        <w:drawing>
          <wp:inline distT="0" distB="0" distL="0" distR="0">
            <wp:extent cx="2286000" cy="982980"/>
            <wp:effectExtent l="0" t="0" r="0" b="7620"/>
            <wp:docPr id="2" name="Picture 2" descr="update official dec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pdate official decision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0" cy="982980"/>
                    </a:xfrm>
                    <a:prstGeom prst="rect">
                      <a:avLst/>
                    </a:prstGeom>
                    <a:noFill/>
                    <a:ln>
                      <a:noFill/>
                    </a:ln>
                  </pic:spPr>
                </pic:pic>
              </a:graphicData>
            </a:graphic>
          </wp:inline>
        </w:drawing>
      </w:r>
      <w:r>
        <w:rPr>
          <w:sz w:val="29"/>
          <w:szCs w:val="29"/>
        </w:rPr>
        <w:t> </w:t>
      </w:r>
    </w:p>
    <w:p w:rsidR="00297EB3" w:rsidRDefault="00297EB3" w:rsidP="00297EB3">
      <w:pPr>
        <w:spacing w:before="120"/>
        <w:rPr>
          <w:sz w:val="29"/>
          <w:szCs w:val="29"/>
        </w:rPr>
      </w:pPr>
      <w:r>
        <w:rPr>
          <w:sz w:val="29"/>
          <w:szCs w:val="29"/>
        </w:rPr>
        <w:t xml:space="preserve">Click on the </w:t>
      </w:r>
      <w:proofErr w:type="spellStart"/>
      <w:r>
        <w:rPr>
          <w:sz w:val="29"/>
          <w:szCs w:val="29"/>
        </w:rPr>
        <w:t>Capsim</w:t>
      </w:r>
      <w:proofErr w:type="spellEnd"/>
      <w:r>
        <w:rPr>
          <w:sz w:val="29"/>
          <w:szCs w:val="29"/>
        </w:rPr>
        <w:t xml:space="preserve"> link on the left-side navigation to access this resource.</w:t>
      </w:r>
    </w:p>
    <w:p w:rsidR="00297EB3" w:rsidRDefault="0020330A" w:rsidP="00297EB3">
      <w:pPr>
        <w:rPr>
          <w:sz w:val="29"/>
          <w:szCs w:val="29"/>
        </w:rPr>
      </w:pPr>
      <w:r>
        <w:rPr>
          <w:sz w:val="29"/>
          <w:szCs w:val="29"/>
        </w:rPr>
        <w:pict>
          <v:rect id="_x0000_i1025" style="width:0;height:1.5pt" o:hralign="center" o:hrstd="t" o:hr="t" fillcolor="gray" stroked="f"/>
        </w:pict>
      </w:r>
    </w:p>
    <w:p w:rsidR="00297EB3" w:rsidRDefault="0020330A" w:rsidP="00297EB3">
      <w:pPr>
        <w:shd w:val="clear" w:color="auto" w:fill="FFFFFF"/>
        <w:spacing w:before="384" w:after="384"/>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pict>
          <v:rect id="_x0000_i1026" style="width:0;height:1.5pt" o:hralign="center" o:hrstd="t" o:hr="t" fillcolor="gray" stroked="f"/>
        </w:pict>
      </w:r>
    </w:p>
    <w:p w:rsidR="00297EB3" w:rsidRPr="00297EB3" w:rsidRDefault="00297EB3" w:rsidP="00297EB3">
      <w:pPr>
        <w:spacing w:after="0" w:line="240" w:lineRule="auto"/>
        <w:ind w:firstLine="0"/>
        <w:jc w:val="center"/>
        <w:rPr>
          <w:rFonts w:ascii="Arial" w:eastAsia="Times New Roman" w:hAnsi="Arial" w:cs="Arial"/>
          <w:color w:val="565A5C"/>
          <w:sz w:val="27"/>
          <w:szCs w:val="27"/>
        </w:rPr>
      </w:pPr>
      <w:r w:rsidRPr="00297EB3">
        <w:rPr>
          <w:rFonts w:ascii="Arial" w:eastAsia="Times New Roman" w:hAnsi="Arial" w:cs="Arial"/>
          <w:color w:val="565A5C"/>
          <w:sz w:val="27"/>
          <w:szCs w:val="27"/>
        </w:rPr>
        <w:br w:type="textWrapping" w:clear="all"/>
      </w:r>
    </w:p>
    <w:p w:rsidR="00297EB3" w:rsidRDefault="0020330A">
      <w:r>
        <w:t>Upcoming Next Week:</w:t>
      </w:r>
    </w:p>
    <w:p w:rsidR="0020330A" w:rsidRDefault="0020330A">
      <w:r>
        <w:t xml:space="preserve">PowerPoint </w:t>
      </w:r>
      <w:proofErr w:type="gramStart"/>
      <w:r>
        <w:t>presentation,  Discussion</w:t>
      </w:r>
      <w:proofErr w:type="gramEnd"/>
      <w:r>
        <w:t xml:space="preserve"> and Competitive Rounds 5 &amp; 6 due.  </w:t>
      </w:r>
    </w:p>
    <w:p w:rsidR="0020330A" w:rsidRDefault="0020330A"/>
    <w:p w:rsidR="0020330A" w:rsidRDefault="0020330A"/>
    <w:p w:rsidR="0020330A" w:rsidRPr="00297EB3" w:rsidRDefault="0020330A">
      <w:bookmarkStart w:id="0" w:name="_GoBack"/>
      <w:bookmarkEnd w:id="0"/>
    </w:p>
    <w:sectPr w:rsidR="0020330A" w:rsidRPr="00297E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379FD"/>
    <w:multiLevelType w:val="multilevel"/>
    <w:tmpl w:val="7324B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6800C0"/>
    <w:multiLevelType w:val="multilevel"/>
    <w:tmpl w:val="D2081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6236DF"/>
    <w:multiLevelType w:val="multilevel"/>
    <w:tmpl w:val="75A0F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FDE3642"/>
    <w:multiLevelType w:val="multilevel"/>
    <w:tmpl w:val="7FF20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EB3"/>
    <w:rsid w:val="0020330A"/>
    <w:rsid w:val="00297EB3"/>
    <w:rsid w:val="00417D82"/>
    <w:rsid w:val="00DA0440"/>
    <w:rsid w:val="00E4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53DF1"/>
  <w15:chartTrackingRefBased/>
  <w15:docId w15:val="{C5AFEEF6-C3FC-4BFA-A5F1-1902C5D79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76" w:lineRule="auto"/>
    </w:pPr>
  </w:style>
  <w:style w:type="paragraph" w:styleId="Heading1">
    <w:name w:val="heading 1"/>
    <w:basedOn w:val="Normal"/>
    <w:link w:val="Heading1Char"/>
    <w:uiPriority w:val="9"/>
    <w:qFormat/>
    <w:rsid w:val="00297EB3"/>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97E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97EB3"/>
    <w:pPr>
      <w:spacing w:before="100" w:beforeAutospacing="1" w:after="100" w:afterAutospacing="1" w:line="240" w:lineRule="auto"/>
      <w:ind w:firstLine="0"/>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EB3"/>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297EB3"/>
    <w:rPr>
      <w:rFonts w:ascii="Times New Roman" w:eastAsia="Times New Roman" w:hAnsi="Times New Roman" w:cs="Times New Roman"/>
      <w:b/>
      <w:bCs/>
      <w:sz w:val="27"/>
      <w:szCs w:val="27"/>
    </w:rPr>
  </w:style>
  <w:style w:type="character" w:customStyle="1" w:styleId="d2l-button-subtle-content">
    <w:name w:val="d2l-button-subtle-content"/>
    <w:basedOn w:val="DefaultParagraphFont"/>
    <w:rsid w:val="00297EB3"/>
  </w:style>
  <w:style w:type="character" w:styleId="Strong">
    <w:name w:val="Strong"/>
    <w:basedOn w:val="DefaultParagraphFont"/>
    <w:uiPriority w:val="22"/>
    <w:qFormat/>
    <w:rsid w:val="00297EB3"/>
    <w:rPr>
      <w:b/>
      <w:bCs/>
    </w:rPr>
  </w:style>
  <w:style w:type="paragraph" w:styleId="NormalWeb">
    <w:name w:val="Normal (Web)"/>
    <w:basedOn w:val="Normal"/>
    <w:uiPriority w:val="99"/>
    <w:semiHidden/>
    <w:unhideWhenUsed/>
    <w:rsid w:val="00297EB3"/>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97EB3"/>
    <w:rPr>
      <w:color w:val="0000FF"/>
      <w:u w:val="single"/>
    </w:rPr>
  </w:style>
  <w:style w:type="character" w:styleId="Emphasis">
    <w:name w:val="Emphasis"/>
    <w:basedOn w:val="DefaultParagraphFont"/>
    <w:uiPriority w:val="20"/>
    <w:qFormat/>
    <w:rsid w:val="00297EB3"/>
    <w:rPr>
      <w:i/>
      <w:iCs/>
    </w:rPr>
  </w:style>
  <w:style w:type="character" w:customStyle="1" w:styleId="Heading2Char">
    <w:name w:val="Heading 2 Char"/>
    <w:basedOn w:val="DefaultParagraphFont"/>
    <w:link w:val="Heading2"/>
    <w:uiPriority w:val="9"/>
    <w:semiHidden/>
    <w:rsid w:val="00297EB3"/>
    <w:rPr>
      <w:rFonts w:asciiTheme="majorHAnsi" w:eastAsiaTheme="majorEastAsia" w:hAnsiTheme="majorHAnsi" w:cstheme="majorBidi"/>
      <w:color w:val="2F5496" w:themeColor="accent1" w:themeShade="BF"/>
      <w:sz w:val="26"/>
      <w:szCs w:val="26"/>
    </w:rPr>
  </w:style>
  <w:style w:type="character" w:customStyle="1" w:styleId="d2l-offscreen">
    <w:name w:val="d2l-offscreen"/>
    <w:basedOn w:val="DefaultParagraphFont"/>
    <w:rsid w:val="00297EB3"/>
  </w:style>
  <w:style w:type="paragraph" w:styleId="z-TopofForm">
    <w:name w:val="HTML Top of Form"/>
    <w:basedOn w:val="Normal"/>
    <w:next w:val="Normal"/>
    <w:link w:val="z-TopofFormChar"/>
    <w:hidden/>
    <w:uiPriority w:val="99"/>
    <w:semiHidden/>
    <w:unhideWhenUsed/>
    <w:rsid w:val="00DA0440"/>
    <w:pPr>
      <w:pBdr>
        <w:bottom w:val="single" w:sz="6" w:space="1" w:color="auto"/>
      </w:pBdr>
      <w:spacing w:after="0" w:line="240" w:lineRule="auto"/>
      <w:ind w:firstLin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A0440"/>
    <w:rPr>
      <w:rFonts w:ascii="Arial" w:eastAsia="Times New Roman" w:hAnsi="Arial" w:cs="Arial"/>
      <w:vanish/>
      <w:sz w:val="16"/>
      <w:szCs w:val="16"/>
    </w:rPr>
  </w:style>
  <w:style w:type="character" w:customStyle="1" w:styleId="d2l-textblock">
    <w:name w:val="d2l-textblock"/>
    <w:basedOn w:val="DefaultParagraphFont"/>
    <w:rsid w:val="00DA0440"/>
  </w:style>
  <w:style w:type="paragraph" w:styleId="z-BottomofForm">
    <w:name w:val="HTML Bottom of Form"/>
    <w:basedOn w:val="Normal"/>
    <w:next w:val="Normal"/>
    <w:link w:val="z-BottomofFormChar"/>
    <w:hidden/>
    <w:uiPriority w:val="99"/>
    <w:semiHidden/>
    <w:unhideWhenUsed/>
    <w:rsid w:val="00DA0440"/>
    <w:pPr>
      <w:pBdr>
        <w:top w:val="single" w:sz="6" w:space="1" w:color="auto"/>
      </w:pBdr>
      <w:spacing w:after="0" w:line="240" w:lineRule="auto"/>
      <w:ind w:firstLine="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A0440"/>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2456291">
      <w:bodyDiv w:val="1"/>
      <w:marLeft w:val="0"/>
      <w:marRight w:val="0"/>
      <w:marTop w:val="0"/>
      <w:marBottom w:val="0"/>
      <w:divBdr>
        <w:top w:val="none" w:sz="0" w:space="0" w:color="auto"/>
        <w:left w:val="none" w:sz="0" w:space="0" w:color="auto"/>
        <w:bottom w:val="none" w:sz="0" w:space="0" w:color="auto"/>
        <w:right w:val="none" w:sz="0" w:space="0" w:color="auto"/>
      </w:divBdr>
      <w:divsChild>
        <w:div w:id="236088360">
          <w:marLeft w:val="0"/>
          <w:marRight w:val="0"/>
          <w:marTop w:val="0"/>
          <w:marBottom w:val="0"/>
          <w:divBdr>
            <w:top w:val="none" w:sz="0" w:space="0" w:color="auto"/>
            <w:left w:val="none" w:sz="0" w:space="0" w:color="auto"/>
            <w:bottom w:val="none" w:sz="0" w:space="0" w:color="auto"/>
            <w:right w:val="none" w:sz="0" w:space="0" w:color="auto"/>
          </w:divBdr>
          <w:divsChild>
            <w:div w:id="2024822530">
              <w:marLeft w:val="0"/>
              <w:marRight w:val="0"/>
              <w:marTop w:val="0"/>
              <w:marBottom w:val="0"/>
              <w:divBdr>
                <w:top w:val="none" w:sz="0" w:space="0" w:color="auto"/>
                <w:left w:val="none" w:sz="0" w:space="0" w:color="auto"/>
                <w:bottom w:val="none" w:sz="0" w:space="0" w:color="auto"/>
                <w:right w:val="none" w:sz="0" w:space="0" w:color="auto"/>
              </w:divBdr>
              <w:divsChild>
                <w:div w:id="204120017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62091075">
          <w:marLeft w:val="0"/>
          <w:marRight w:val="0"/>
          <w:marTop w:val="0"/>
          <w:marBottom w:val="0"/>
          <w:divBdr>
            <w:top w:val="none" w:sz="0" w:space="0" w:color="auto"/>
            <w:left w:val="none" w:sz="0" w:space="0" w:color="auto"/>
            <w:bottom w:val="none" w:sz="0" w:space="0" w:color="auto"/>
            <w:right w:val="none" w:sz="0" w:space="0" w:color="auto"/>
          </w:divBdr>
          <w:divsChild>
            <w:div w:id="167707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825658">
      <w:bodyDiv w:val="1"/>
      <w:marLeft w:val="0"/>
      <w:marRight w:val="0"/>
      <w:marTop w:val="0"/>
      <w:marBottom w:val="0"/>
      <w:divBdr>
        <w:top w:val="none" w:sz="0" w:space="0" w:color="auto"/>
        <w:left w:val="none" w:sz="0" w:space="0" w:color="auto"/>
        <w:bottom w:val="none" w:sz="0" w:space="0" w:color="auto"/>
        <w:right w:val="none" w:sz="0" w:space="0" w:color="auto"/>
      </w:divBdr>
    </w:div>
    <w:div w:id="1635597666">
      <w:bodyDiv w:val="1"/>
      <w:marLeft w:val="0"/>
      <w:marRight w:val="0"/>
      <w:marTop w:val="0"/>
      <w:marBottom w:val="0"/>
      <w:divBdr>
        <w:top w:val="none" w:sz="0" w:space="0" w:color="auto"/>
        <w:left w:val="none" w:sz="0" w:space="0" w:color="auto"/>
        <w:bottom w:val="none" w:sz="0" w:space="0" w:color="auto"/>
        <w:right w:val="none" w:sz="0" w:space="0" w:color="auto"/>
      </w:divBdr>
      <w:divsChild>
        <w:div w:id="1728139923">
          <w:marLeft w:val="0"/>
          <w:marRight w:val="0"/>
          <w:marTop w:val="0"/>
          <w:marBottom w:val="0"/>
          <w:divBdr>
            <w:top w:val="single" w:sz="6" w:space="0" w:color="D3D9E3"/>
            <w:left w:val="none" w:sz="0" w:space="0" w:color="auto"/>
            <w:bottom w:val="none" w:sz="0" w:space="0" w:color="auto"/>
            <w:right w:val="none" w:sz="0" w:space="0" w:color="auto"/>
          </w:divBdr>
          <w:divsChild>
            <w:div w:id="124084600">
              <w:marLeft w:val="0"/>
              <w:marRight w:val="0"/>
              <w:marTop w:val="0"/>
              <w:marBottom w:val="0"/>
              <w:divBdr>
                <w:top w:val="none" w:sz="0" w:space="0" w:color="auto"/>
                <w:left w:val="none" w:sz="0" w:space="0" w:color="auto"/>
                <w:bottom w:val="none" w:sz="0" w:space="0" w:color="auto"/>
                <w:right w:val="none" w:sz="0" w:space="0" w:color="auto"/>
              </w:divBdr>
              <w:divsChild>
                <w:div w:id="702480391">
                  <w:marLeft w:val="0"/>
                  <w:marRight w:val="0"/>
                  <w:marTop w:val="0"/>
                  <w:marBottom w:val="0"/>
                  <w:divBdr>
                    <w:top w:val="none" w:sz="0" w:space="0" w:color="auto"/>
                    <w:left w:val="none" w:sz="0" w:space="0" w:color="auto"/>
                    <w:bottom w:val="none" w:sz="0" w:space="0" w:color="auto"/>
                    <w:right w:val="none" w:sz="0" w:space="0" w:color="auto"/>
                  </w:divBdr>
                  <w:divsChild>
                    <w:div w:id="221598393">
                      <w:marLeft w:val="-450"/>
                      <w:marRight w:val="0"/>
                      <w:marTop w:val="0"/>
                      <w:marBottom w:val="0"/>
                      <w:divBdr>
                        <w:top w:val="none" w:sz="0" w:space="0" w:color="auto"/>
                        <w:left w:val="none" w:sz="0" w:space="0" w:color="auto"/>
                        <w:bottom w:val="none" w:sz="0" w:space="0" w:color="auto"/>
                        <w:right w:val="none" w:sz="0" w:space="0" w:color="auto"/>
                      </w:divBdr>
                      <w:divsChild>
                        <w:div w:id="1279680333">
                          <w:marLeft w:val="450"/>
                          <w:marRight w:val="0"/>
                          <w:marTop w:val="353"/>
                          <w:marBottom w:val="353"/>
                          <w:divBdr>
                            <w:top w:val="none" w:sz="0" w:space="0" w:color="auto"/>
                            <w:left w:val="none" w:sz="0" w:space="0" w:color="auto"/>
                            <w:bottom w:val="none" w:sz="0" w:space="0" w:color="auto"/>
                            <w:right w:val="none" w:sz="0" w:space="0" w:color="auto"/>
                          </w:divBdr>
                          <w:divsChild>
                            <w:div w:id="521214269">
                              <w:marLeft w:val="0"/>
                              <w:marRight w:val="0"/>
                              <w:marTop w:val="0"/>
                              <w:marBottom w:val="0"/>
                              <w:divBdr>
                                <w:top w:val="none" w:sz="0" w:space="0" w:color="auto"/>
                                <w:left w:val="none" w:sz="0" w:space="0" w:color="auto"/>
                                <w:bottom w:val="none" w:sz="0" w:space="0" w:color="auto"/>
                                <w:right w:val="none" w:sz="0" w:space="0" w:color="auto"/>
                              </w:divBdr>
                              <w:divsChild>
                                <w:div w:id="304702498">
                                  <w:marLeft w:val="-450"/>
                                  <w:marRight w:val="0"/>
                                  <w:marTop w:val="0"/>
                                  <w:marBottom w:val="0"/>
                                  <w:divBdr>
                                    <w:top w:val="none" w:sz="0" w:space="0" w:color="auto"/>
                                    <w:left w:val="none" w:sz="0" w:space="0" w:color="auto"/>
                                    <w:bottom w:val="none" w:sz="0" w:space="0" w:color="auto"/>
                                    <w:right w:val="none" w:sz="0" w:space="0" w:color="auto"/>
                                  </w:divBdr>
                                  <w:divsChild>
                                    <w:div w:id="341398304">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sChild>
                        </w:div>
                        <w:div w:id="890193218">
                          <w:marLeft w:val="450"/>
                          <w:marRight w:val="0"/>
                          <w:marTop w:val="353"/>
                          <w:marBottom w:val="353"/>
                          <w:divBdr>
                            <w:top w:val="none" w:sz="0" w:space="0" w:color="auto"/>
                            <w:left w:val="none" w:sz="0" w:space="0" w:color="auto"/>
                            <w:bottom w:val="none" w:sz="0" w:space="0" w:color="auto"/>
                            <w:right w:val="none" w:sz="0" w:space="0" w:color="auto"/>
                          </w:divBdr>
                          <w:divsChild>
                            <w:div w:id="98334816">
                              <w:marLeft w:val="0"/>
                              <w:marRight w:val="0"/>
                              <w:marTop w:val="0"/>
                              <w:marBottom w:val="0"/>
                              <w:divBdr>
                                <w:top w:val="none" w:sz="0" w:space="0" w:color="auto"/>
                                <w:left w:val="none" w:sz="0" w:space="0" w:color="auto"/>
                                <w:bottom w:val="none" w:sz="0" w:space="0" w:color="auto"/>
                                <w:right w:val="none" w:sz="0" w:space="0" w:color="auto"/>
                              </w:divBdr>
                              <w:divsChild>
                                <w:div w:id="69326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392754">
      <w:bodyDiv w:val="1"/>
      <w:marLeft w:val="0"/>
      <w:marRight w:val="0"/>
      <w:marTop w:val="0"/>
      <w:marBottom w:val="0"/>
      <w:divBdr>
        <w:top w:val="none" w:sz="0" w:space="0" w:color="auto"/>
        <w:left w:val="none" w:sz="0" w:space="0" w:color="auto"/>
        <w:bottom w:val="none" w:sz="0" w:space="0" w:color="auto"/>
        <w:right w:val="none" w:sz="0" w:space="0" w:color="auto"/>
      </w:divBdr>
      <w:divsChild>
        <w:div w:id="1403406468">
          <w:marLeft w:val="0"/>
          <w:marRight w:val="0"/>
          <w:marTop w:val="0"/>
          <w:marBottom w:val="0"/>
          <w:divBdr>
            <w:top w:val="none" w:sz="0" w:space="0" w:color="auto"/>
            <w:left w:val="none" w:sz="0" w:space="0" w:color="auto"/>
            <w:bottom w:val="none" w:sz="0" w:space="0" w:color="auto"/>
            <w:right w:val="none" w:sz="0" w:space="0" w:color="auto"/>
          </w:divBdr>
          <w:divsChild>
            <w:div w:id="2124182398">
              <w:marLeft w:val="0"/>
              <w:marRight w:val="0"/>
              <w:marTop w:val="0"/>
              <w:marBottom w:val="0"/>
              <w:divBdr>
                <w:top w:val="none" w:sz="0" w:space="0" w:color="auto"/>
                <w:left w:val="none" w:sz="0" w:space="0" w:color="auto"/>
                <w:bottom w:val="none" w:sz="0" w:space="0" w:color="auto"/>
                <w:right w:val="none" w:sz="0" w:space="0" w:color="auto"/>
              </w:divBdr>
              <w:divsChild>
                <w:div w:id="664824679">
                  <w:marLeft w:val="0"/>
                  <w:marRight w:val="0"/>
                  <w:marTop w:val="0"/>
                  <w:marBottom w:val="0"/>
                  <w:divBdr>
                    <w:top w:val="none" w:sz="0" w:space="0" w:color="auto"/>
                    <w:left w:val="none" w:sz="0" w:space="0" w:color="auto"/>
                    <w:bottom w:val="none" w:sz="0" w:space="0" w:color="auto"/>
                    <w:right w:val="none" w:sz="0" w:space="0" w:color="auto"/>
                  </w:divBdr>
                  <w:divsChild>
                    <w:div w:id="361982894">
                      <w:marLeft w:val="0"/>
                      <w:marRight w:val="0"/>
                      <w:marTop w:val="0"/>
                      <w:marBottom w:val="0"/>
                      <w:divBdr>
                        <w:top w:val="none" w:sz="0" w:space="0" w:color="auto"/>
                        <w:left w:val="none" w:sz="0" w:space="0" w:color="auto"/>
                        <w:bottom w:val="none" w:sz="0" w:space="0" w:color="auto"/>
                        <w:right w:val="none" w:sz="0" w:space="0" w:color="auto"/>
                      </w:divBdr>
                      <w:divsChild>
                        <w:div w:id="692850106">
                          <w:marLeft w:val="0"/>
                          <w:marRight w:val="0"/>
                          <w:marTop w:val="0"/>
                          <w:marBottom w:val="0"/>
                          <w:divBdr>
                            <w:top w:val="none" w:sz="0" w:space="0" w:color="auto"/>
                            <w:left w:val="none" w:sz="0" w:space="0" w:color="auto"/>
                            <w:bottom w:val="none" w:sz="0" w:space="0" w:color="auto"/>
                            <w:right w:val="none" w:sz="0" w:space="0" w:color="auto"/>
                          </w:divBdr>
                          <w:divsChild>
                            <w:div w:id="2128885651">
                              <w:marLeft w:val="0"/>
                              <w:marRight w:val="0"/>
                              <w:marTop w:val="0"/>
                              <w:marBottom w:val="0"/>
                              <w:divBdr>
                                <w:top w:val="none" w:sz="0" w:space="0" w:color="auto"/>
                                <w:left w:val="none" w:sz="0" w:space="0" w:color="auto"/>
                                <w:bottom w:val="none" w:sz="0" w:space="0" w:color="auto"/>
                                <w:right w:val="none" w:sz="0" w:space="0" w:color="auto"/>
                              </w:divBdr>
                              <w:divsChild>
                                <w:div w:id="1611933822">
                                  <w:marLeft w:val="0"/>
                                  <w:marRight w:val="0"/>
                                  <w:marTop w:val="0"/>
                                  <w:marBottom w:val="0"/>
                                  <w:divBdr>
                                    <w:top w:val="none" w:sz="0" w:space="0" w:color="auto"/>
                                    <w:left w:val="none" w:sz="0" w:space="0" w:color="auto"/>
                                    <w:bottom w:val="none" w:sz="0" w:space="0" w:color="auto"/>
                                    <w:right w:val="none" w:sz="0" w:space="0" w:color="auto"/>
                                  </w:divBdr>
                                  <w:divsChild>
                                    <w:div w:id="156683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106331">
                          <w:marLeft w:val="0"/>
                          <w:marRight w:val="0"/>
                          <w:marTop w:val="0"/>
                          <w:marBottom w:val="0"/>
                          <w:divBdr>
                            <w:top w:val="none" w:sz="0" w:space="0" w:color="auto"/>
                            <w:left w:val="none" w:sz="0" w:space="0" w:color="auto"/>
                            <w:bottom w:val="none" w:sz="0" w:space="0" w:color="auto"/>
                            <w:right w:val="none" w:sz="0" w:space="0" w:color="auto"/>
                          </w:divBdr>
                          <w:divsChild>
                            <w:div w:id="460194237">
                              <w:marLeft w:val="0"/>
                              <w:marRight w:val="0"/>
                              <w:marTop w:val="0"/>
                              <w:marBottom w:val="150"/>
                              <w:divBdr>
                                <w:top w:val="none" w:sz="0" w:space="0" w:color="auto"/>
                                <w:left w:val="none" w:sz="0" w:space="0" w:color="auto"/>
                                <w:bottom w:val="none" w:sz="0" w:space="0" w:color="auto"/>
                                <w:right w:val="none" w:sz="0" w:space="0" w:color="auto"/>
                              </w:divBdr>
                              <w:divsChild>
                                <w:div w:id="1163008826">
                                  <w:marLeft w:val="150"/>
                                  <w:marRight w:val="0"/>
                                  <w:marTop w:val="0"/>
                                  <w:marBottom w:val="0"/>
                                  <w:divBdr>
                                    <w:top w:val="none" w:sz="0" w:space="0" w:color="auto"/>
                                    <w:left w:val="none" w:sz="0" w:space="0" w:color="auto"/>
                                    <w:bottom w:val="none" w:sz="0" w:space="0" w:color="auto"/>
                                    <w:right w:val="none" w:sz="0" w:space="0" w:color="auto"/>
                                  </w:divBdr>
                                  <w:divsChild>
                                    <w:div w:id="86763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430060">
          <w:marLeft w:val="0"/>
          <w:marRight w:val="0"/>
          <w:marTop w:val="0"/>
          <w:marBottom w:val="0"/>
          <w:divBdr>
            <w:top w:val="none" w:sz="0" w:space="0" w:color="auto"/>
            <w:left w:val="none" w:sz="0" w:space="0" w:color="auto"/>
            <w:bottom w:val="none" w:sz="0" w:space="0" w:color="auto"/>
            <w:right w:val="none" w:sz="0" w:space="0" w:color="auto"/>
          </w:divBdr>
          <w:divsChild>
            <w:div w:id="1613049285">
              <w:marLeft w:val="0"/>
              <w:marRight w:val="0"/>
              <w:marTop w:val="0"/>
              <w:marBottom w:val="0"/>
              <w:divBdr>
                <w:top w:val="none" w:sz="0" w:space="0" w:color="auto"/>
                <w:left w:val="none" w:sz="0" w:space="0" w:color="auto"/>
                <w:bottom w:val="none" w:sz="0" w:space="0" w:color="auto"/>
                <w:right w:val="none" w:sz="0" w:space="0" w:color="auto"/>
              </w:divBdr>
              <w:divsChild>
                <w:div w:id="909314842">
                  <w:marLeft w:val="0"/>
                  <w:marRight w:val="0"/>
                  <w:marTop w:val="0"/>
                  <w:marBottom w:val="0"/>
                  <w:divBdr>
                    <w:top w:val="single" w:sz="6" w:space="15" w:color="D4D4D4"/>
                    <w:left w:val="single" w:sz="6" w:space="15" w:color="D4D4D4"/>
                    <w:bottom w:val="single" w:sz="6" w:space="15" w:color="D4D4D4"/>
                    <w:right w:val="single" w:sz="6" w:space="15" w:color="D4D4D4"/>
                  </w:divBdr>
                  <w:divsChild>
                    <w:div w:id="1463574948">
                      <w:marLeft w:val="0"/>
                      <w:marRight w:val="0"/>
                      <w:marTop w:val="0"/>
                      <w:marBottom w:val="0"/>
                      <w:divBdr>
                        <w:top w:val="none" w:sz="0" w:space="0" w:color="auto"/>
                        <w:left w:val="none" w:sz="0" w:space="0" w:color="auto"/>
                        <w:bottom w:val="none" w:sz="0" w:space="0" w:color="auto"/>
                        <w:right w:val="none" w:sz="0" w:space="0" w:color="auto"/>
                      </w:divBdr>
                      <w:divsChild>
                        <w:div w:id="435100533">
                          <w:marLeft w:val="0"/>
                          <w:marRight w:val="0"/>
                          <w:marTop w:val="0"/>
                          <w:marBottom w:val="0"/>
                          <w:divBdr>
                            <w:top w:val="none" w:sz="0" w:space="0" w:color="auto"/>
                            <w:left w:val="none" w:sz="0" w:space="0" w:color="auto"/>
                            <w:bottom w:val="none" w:sz="0" w:space="0" w:color="auto"/>
                            <w:right w:val="none" w:sz="0" w:space="0" w:color="auto"/>
                          </w:divBdr>
                        </w:div>
                      </w:divsChild>
                    </w:div>
                    <w:div w:id="455292182">
                      <w:marLeft w:val="0"/>
                      <w:marRight w:val="0"/>
                      <w:marTop w:val="0"/>
                      <w:marBottom w:val="0"/>
                      <w:divBdr>
                        <w:top w:val="none" w:sz="0" w:space="0" w:color="auto"/>
                        <w:left w:val="none" w:sz="0" w:space="0" w:color="auto"/>
                        <w:bottom w:val="none" w:sz="0" w:space="0" w:color="auto"/>
                        <w:right w:val="none" w:sz="0" w:space="0" w:color="auto"/>
                      </w:divBdr>
                      <w:divsChild>
                        <w:div w:id="1465545029">
                          <w:marLeft w:val="0"/>
                          <w:marRight w:val="0"/>
                          <w:marTop w:val="0"/>
                          <w:marBottom w:val="0"/>
                          <w:divBdr>
                            <w:top w:val="none" w:sz="0" w:space="0" w:color="auto"/>
                            <w:left w:val="none" w:sz="0" w:space="0" w:color="auto"/>
                            <w:bottom w:val="none" w:sz="0" w:space="0" w:color="auto"/>
                            <w:right w:val="none" w:sz="0" w:space="0" w:color="auto"/>
                          </w:divBdr>
                          <w:divsChild>
                            <w:div w:id="498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ubsonline.informs.org/doi/abs/10.1287/mnsc.36.4.449" TargetMode="External"/><Relationship Id="rId13" Type="http://schemas.openxmlformats.org/officeDocument/2006/relationships/hyperlink" Target="http://ezproxy.snhu.edu/login?url=http://search.proquest.com/docview/198123583" TargetMode="External"/><Relationship Id="rId18" Type="http://schemas.openxmlformats.org/officeDocument/2006/relationships/hyperlink" Target="https://learn.snhu.edu/d2l/le/content/201855/navigateContent/460/Next?pId=4746882"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2.capsim.com/guides/foundation2013/the-guide/6-proformas-a-annual-reportsf0e5.html" TargetMode="External"/><Relationship Id="rId12" Type="http://schemas.openxmlformats.org/officeDocument/2006/relationships/hyperlink" Target="http://www.sciencedirect.com/science/journal/09255273" TargetMode="External"/><Relationship Id="rId17" Type="http://schemas.openxmlformats.org/officeDocument/2006/relationships/hyperlink" Target="https://learn.snhu.edu/d2l/le/content/201855/navigateContent/460/Previous?pId=4746882" TargetMode="External"/><Relationship Id="rId2" Type="http://schemas.openxmlformats.org/officeDocument/2006/relationships/styles" Target="styles.xml"/><Relationship Id="rId16" Type="http://schemas.openxmlformats.org/officeDocument/2006/relationships/image" Target="media/image2.gi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2.capsim.com/guides/foundation2013/the-guide/4-managing-your-company/44-finance.html" TargetMode="External"/><Relationship Id="rId11" Type="http://schemas.openxmlformats.org/officeDocument/2006/relationships/hyperlink" Target="http://www.jstor.org/action/showPublisher?publisherCode=brookings" TargetMode="External"/><Relationship Id="rId5" Type="http://schemas.openxmlformats.org/officeDocument/2006/relationships/image" Target="media/image1.png"/><Relationship Id="rId15" Type="http://schemas.openxmlformats.org/officeDocument/2006/relationships/hyperlink" Target="https://learn.snhu.edu/d2l/le/content/201855/viewContent/4746911/View" TargetMode="External"/><Relationship Id="rId10" Type="http://schemas.openxmlformats.org/officeDocument/2006/relationships/hyperlink" Target="http://www.jstor.org/action/showPublisher?publisherCode=brookings"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pubsonline.informs.org/doi/abs/10.1287/mnsc.36.4.449" TargetMode="External"/><Relationship Id="rId14" Type="http://schemas.openxmlformats.org/officeDocument/2006/relationships/hyperlink" Target="http://ezproxy.snhu.edu/login?url=http://search.proquest.com/docview/1981005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1676</Words>
  <Characters>9554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Holcomb</dc:creator>
  <cp:keywords/>
  <dc:description/>
  <cp:lastModifiedBy>Robin Holcomb</cp:lastModifiedBy>
  <cp:revision>3</cp:revision>
  <dcterms:created xsi:type="dcterms:W3CDTF">2019-05-22T13:17:00Z</dcterms:created>
  <dcterms:modified xsi:type="dcterms:W3CDTF">2019-05-26T15:38:00Z</dcterms:modified>
</cp:coreProperties>
</file>