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487" w:rsidRPr="00654487" w:rsidRDefault="00654487" w:rsidP="00654487">
      <w:pPr>
        <w:shd w:val="clear" w:color="auto" w:fill="FFFFFF"/>
        <w:spacing w:after="0" w:line="480" w:lineRule="auto"/>
        <w:rPr>
          <w:rFonts w:ascii="Times New Roman" w:eastAsia="Times New Roman" w:hAnsi="Times New Roman" w:cs="Times New Roman"/>
          <w:b/>
          <w:sz w:val="24"/>
          <w:szCs w:val="24"/>
        </w:rPr>
      </w:pPr>
      <w:r w:rsidRPr="00654487">
        <w:rPr>
          <w:rFonts w:ascii="Times New Roman" w:eastAsia="Times New Roman" w:hAnsi="Times New Roman" w:cs="Times New Roman"/>
          <w:b/>
          <w:sz w:val="24"/>
          <w:szCs w:val="24"/>
        </w:rPr>
        <w:t>The opening statement on the website of the Organization of Petroleum Exporting Countries (OPEC) says its members seek “…to secure an efficient, economic, and regular supply of petroleum to consumers, a steady income to producers and a fair return of capital for those investing in the petroleum industry.”  To achieve this goal, OPEC attempts to coordinate and unify petroleum policies by raising or lowering its members’ collective oil production.  However, increased production by Russia, Oman, Mexico, Norway, and other non-OPEC countries has placed downward pressure on the price of crude oil.  To achieve its goal of stable and fair oil prices, what must OPEC do to maintain the price of oil at its desired level?  Do you think this will be easy for OPEC to do?  Explain.</w:t>
      </w:r>
    </w:p>
    <w:p w:rsidR="00654487" w:rsidRPr="00654487" w:rsidRDefault="00654487" w:rsidP="00654487">
      <w:pPr>
        <w:shd w:val="clear" w:color="auto" w:fill="FFFFFF"/>
        <w:spacing w:after="0" w:line="480" w:lineRule="auto"/>
        <w:ind w:firstLine="720"/>
        <w:rPr>
          <w:rFonts w:ascii="Times New Roman" w:eastAsia="Times New Roman" w:hAnsi="Times New Roman" w:cs="Times New Roman"/>
          <w:sz w:val="24"/>
          <w:szCs w:val="24"/>
        </w:rPr>
      </w:pPr>
      <w:r w:rsidRPr="00654487">
        <w:rPr>
          <w:rFonts w:ascii="Times New Roman" w:eastAsia="Times New Roman" w:hAnsi="Times New Roman" w:cs="Times New Roman"/>
          <w:sz w:val="24"/>
          <w:szCs w:val="24"/>
        </w:rPr>
        <w:t xml:space="preserve"> There are a number of factors that influence the pressure and prices set for oil. Economic theories accounts for consumption and production as factors mitigating the prices. The United States has an Energy Information Administration, whose regulations indicate several factors that influence the pressure placed on the prices of oil; inventory, financial markets, OPEC supply, non-OPEC supply, OECD demand, and non-OECD demand </w:t>
      </w:r>
      <w:sdt>
        <w:sdtPr>
          <w:rPr>
            <w:rFonts w:ascii="Times New Roman" w:eastAsia="Times New Roman" w:hAnsi="Times New Roman" w:cs="Times New Roman"/>
            <w:sz w:val="24"/>
            <w:szCs w:val="24"/>
          </w:rPr>
          <w:id w:val="3286104"/>
          <w:citation/>
        </w:sdtPr>
        <w:sdtContent>
          <w:r w:rsidRPr="00654487">
            <w:rPr>
              <w:rFonts w:ascii="Times New Roman" w:eastAsia="Times New Roman" w:hAnsi="Times New Roman" w:cs="Times New Roman"/>
              <w:sz w:val="24"/>
              <w:szCs w:val="24"/>
            </w:rPr>
            <w:fldChar w:fldCharType="begin"/>
          </w:r>
          <w:r w:rsidRPr="00654487">
            <w:rPr>
              <w:rFonts w:ascii="Times New Roman" w:eastAsia="Times New Roman" w:hAnsi="Times New Roman" w:cs="Times New Roman"/>
              <w:sz w:val="24"/>
              <w:szCs w:val="24"/>
            </w:rPr>
            <w:instrText xml:space="preserve"> CITATION Ama191 \l 1033 </w:instrText>
          </w:r>
          <w:r w:rsidRPr="00654487">
            <w:rPr>
              <w:rFonts w:ascii="Times New Roman" w:eastAsia="Times New Roman" w:hAnsi="Times New Roman" w:cs="Times New Roman"/>
              <w:sz w:val="24"/>
              <w:szCs w:val="24"/>
            </w:rPr>
            <w:fldChar w:fldCharType="separate"/>
          </w:r>
          <w:r w:rsidRPr="00654487">
            <w:rPr>
              <w:rFonts w:ascii="Times New Roman" w:eastAsia="Times New Roman" w:hAnsi="Times New Roman" w:cs="Times New Roman"/>
              <w:noProof/>
              <w:sz w:val="24"/>
              <w:szCs w:val="24"/>
            </w:rPr>
            <w:t>(Amadeo, 2019)</w:t>
          </w:r>
          <w:r w:rsidRPr="00654487">
            <w:rPr>
              <w:rFonts w:ascii="Times New Roman" w:eastAsia="Times New Roman" w:hAnsi="Times New Roman" w:cs="Times New Roman"/>
              <w:sz w:val="24"/>
              <w:szCs w:val="24"/>
            </w:rPr>
            <w:fldChar w:fldCharType="end"/>
          </w:r>
        </w:sdtContent>
      </w:sdt>
      <w:r w:rsidRPr="00654487">
        <w:rPr>
          <w:rFonts w:ascii="Times New Roman" w:eastAsia="Times New Roman" w:hAnsi="Times New Roman" w:cs="Times New Roman"/>
          <w:sz w:val="24"/>
          <w:szCs w:val="24"/>
        </w:rPr>
        <w:t xml:space="preserve">. The most appropriate strategy that OPEC could utilize to realize their objective of fair and stable oil prices, OPEC should reduce their output for the commodity. The strategy will prove difficult since the profits of all members will reduce. The non-OPEC countries will not be able to cope with the demands despite maximizing and increasing their outputs. The resulting situation may prompt all parties under the OPEC umbrella to collude on pricing and production strategies. The reduced output consequentially increases the demand for the product. OPEC will revise the pricing strategies in place, and what it offers to its partners and consumers as compared to the non-OPEC offers. After revision, the lowered profits by the members will increase the probability by </w:t>
      </w:r>
      <w:r w:rsidRPr="00654487">
        <w:rPr>
          <w:rFonts w:ascii="Times New Roman" w:eastAsia="Times New Roman" w:hAnsi="Times New Roman" w:cs="Times New Roman"/>
          <w:sz w:val="24"/>
          <w:szCs w:val="24"/>
        </w:rPr>
        <w:lastRenderedPageBreak/>
        <w:t>each member state to employ cheat strategies with regards on the levels of production. The strategy will, however, prove an up-hill task to accomplish.</w:t>
      </w:r>
    </w:p>
    <w:p w:rsidR="00654487" w:rsidRPr="00654487" w:rsidRDefault="00654487" w:rsidP="00654487">
      <w:pPr>
        <w:spacing w:line="480" w:lineRule="auto"/>
        <w:rPr>
          <w:rFonts w:ascii="Times New Roman" w:hAnsi="Times New Roman" w:cs="Times New Roman"/>
          <w:sz w:val="24"/>
          <w:szCs w:val="24"/>
        </w:rPr>
      </w:pPr>
      <w:r w:rsidRPr="00654487">
        <w:rPr>
          <w:rFonts w:ascii="Times New Roman" w:hAnsi="Times New Roman" w:cs="Times New Roman"/>
          <w:sz w:val="24"/>
          <w:szCs w:val="24"/>
        </w:rPr>
        <w:br w:type="page"/>
      </w:r>
    </w:p>
    <w:sdt>
      <w:sdtPr>
        <w:rPr>
          <w:rFonts w:ascii="Times New Roman" w:hAnsi="Times New Roman" w:cs="Times New Roman"/>
          <w:color w:val="auto"/>
          <w:sz w:val="24"/>
          <w:szCs w:val="24"/>
        </w:rPr>
        <w:id w:val="3286105"/>
        <w:docPartObj>
          <w:docPartGallery w:val="Bibliographies"/>
          <w:docPartUnique/>
        </w:docPartObj>
      </w:sdtPr>
      <w:sdtEndPr>
        <w:rPr>
          <w:rFonts w:eastAsiaTheme="minorEastAsia"/>
          <w:b w:val="0"/>
          <w:bCs w:val="0"/>
          <w:lang w:bidi="ar-SA"/>
        </w:rPr>
      </w:sdtEndPr>
      <w:sdtContent>
        <w:p w:rsidR="00654487" w:rsidRPr="00654487" w:rsidRDefault="00654487" w:rsidP="00654487">
          <w:pPr>
            <w:pStyle w:val="Heading1"/>
            <w:spacing w:line="480" w:lineRule="auto"/>
            <w:jc w:val="center"/>
            <w:rPr>
              <w:rFonts w:ascii="Times New Roman" w:hAnsi="Times New Roman" w:cs="Times New Roman"/>
              <w:color w:val="auto"/>
              <w:sz w:val="24"/>
              <w:szCs w:val="24"/>
            </w:rPr>
          </w:pPr>
          <w:r w:rsidRPr="00654487">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Content>
            <w:p w:rsidR="00654487" w:rsidRPr="00654487" w:rsidRDefault="00654487" w:rsidP="00654487">
              <w:pPr>
                <w:pStyle w:val="Bibliography"/>
                <w:spacing w:line="480" w:lineRule="auto"/>
                <w:ind w:left="720" w:hanging="720"/>
                <w:rPr>
                  <w:rFonts w:ascii="Times New Roman" w:hAnsi="Times New Roman" w:cs="Times New Roman"/>
                  <w:noProof/>
                  <w:sz w:val="24"/>
                  <w:szCs w:val="24"/>
                </w:rPr>
              </w:pPr>
              <w:r w:rsidRPr="00654487">
                <w:rPr>
                  <w:rFonts w:ascii="Times New Roman" w:hAnsi="Times New Roman" w:cs="Times New Roman"/>
                  <w:sz w:val="24"/>
                  <w:szCs w:val="24"/>
                </w:rPr>
                <w:fldChar w:fldCharType="begin"/>
              </w:r>
              <w:r w:rsidRPr="00654487">
                <w:rPr>
                  <w:rFonts w:ascii="Times New Roman" w:hAnsi="Times New Roman" w:cs="Times New Roman"/>
                  <w:sz w:val="24"/>
                  <w:szCs w:val="24"/>
                </w:rPr>
                <w:instrText xml:space="preserve"> BIBLIOGRAPHY </w:instrText>
              </w:r>
              <w:r w:rsidRPr="00654487">
                <w:rPr>
                  <w:rFonts w:ascii="Times New Roman" w:hAnsi="Times New Roman" w:cs="Times New Roman"/>
                  <w:sz w:val="24"/>
                  <w:szCs w:val="24"/>
                </w:rPr>
                <w:fldChar w:fldCharType="separate"/>
              </w:r>
              <w:r w:rsidRPr="00654487">
                <w:rPr>
                  <w:rFonts w:ascii="Times New Roman" w:hAnsi="Times New Roman" w:cs="Times New Roman"/>
                  <w:noProof/>
                  <w:sz w:val="24"/>
                  <w:szCs w:val="24"/>
                </w:rPr>
                <w:t xml:space="preserve">Amadeo, K. (2019, May 10). </w:t>
              </w:r>
              <w:r w:rsidRPr="00654487">
                <w:rPr>
                  <w:rFonts w:ascii="Times New Roman" w:hAnsi="Times New Roman" w:cs="Times New Roman"/>
                  <w:i/>
                  <w:iCs/>
                  <w:noProof/>
                  <w:sz w:val="24"/>
                  <w:szCs w:val="24"/>
                </w:rPr>
                <w:t>What Affects Oil Prices? Three Critical Factors</w:t>
              </w:r>
              <w:r w:rsidRPr="00654487">
                <w:rPr>
                  <w:rFonts w:ascii="Times New Roman" w:hAnsi="Times New Roman" w:cs="Times New Roman"/>
                  <w:noProof/>
                  <w:sz w:val="24"/>
                  <w:szCs w:val="24"/>
                </w:rPr>
                <w:t>. Retrieved February 2020, from The Balance: https://www.thebalance.com/how-are-oil-prices-determined-3305650</w:t>
              </w:r>
            </w:p>
            <w:p w:rsidR="00654487" w:rsidRPr="00654487" w:rsidRDefault="00654487" w:rsidP="00654487">
              <w:pPr>
                <w:spacing w:line="480" w:lineRule="auto"/>
                <w:ind w:left="720" w:hanging="720"/>
                <w:rPr>
                  <w:rFonts w:ascii="Times New Roman" w:hAnsi="Times New Roman" w:cs="Times New Roman"/>
                  <w:sz w:val="24"/>
                  <w:szCs w:val="24"/>
                </w:rPr>
              </w:pPr>
              <w:r w:rsidRPr="00654487">
                <w:rPr>
                  <w:rFonts w:ascii="Times New Roman" w:hAnsi="Times New Roman" w:cs="Times New Roman"/>
                  <w:sz w:val="24"/>
                  <w:szCs w:val="24"/>
                </w:rPr>
                <w:fldChar w:fldCharType="end"/>
              </w:r>
            </w:p>
          </w:sdtContent>
        </w:sdt>
      </w:sdtContent>
    </w:sdt>
    <w:p w:rsidR="009717FE" w:rsidRPr="00654487" w:rsidRDefault="009717FE" w:rsidP="00654487">
      <w:pPr>
        <w:spacing w:line="480" w:lineRule="auto"/>
        <w:rPr>
          <w:rFonts w:ascii="Times New Roman" w:hAnsi="Times New Roman" w:cs="Times New Roman"/>
          <w:sz w:val="24"/>
          <w:szCs w:val="24"/>
        </w:rPr>
      </w:pPr>
    </w:p>
    <w:sectPr w:rsidR="009717FE" w:rsidRPr="00654487" w:rsidSect="003567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B0BCF"/>
    <w:multiLevelType w:val="hybridMultilevel"/>
    <w:tmpl w:val="5EDC7098"/>
    <w:lvl w:ilvl="0" w:tplc="54940D38">
      <w:start w:val="1"/>
      <w:numFmt w:val="decimal"/>
      <w:lvlText w:val="%1."/>
      <w:lvlJc w:val="left"/>
      <w:pPr>
        <w:ind w:left="360" w:hanging="360"/>
      </w:pPr>
      <w:rPr>
        <w:rFonts w:ascii="Arial" w:hAnsi="Arial" w:cs="Arial" w:hint="default"/>
        <w:color w:val="212529"/>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characterSpacingControl w:val="doNotCompress"/>
  <w:compat/>
  <w:rsids>
    <w:rsidRoot w:val="00654487"/>
    <w:rsid w:val="00654487"/>
    <w:rsid w:val="009717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87"/>
    <w:rPr>
      <w:rFonts w:eastAsiaTheme="minorEastAsia"/>
    </w:rPr>
  </w:style>
  <w:style w:type="paragraph" w:styleId="Heading1">
    <w:name w:val="heading 1"/>
    <w:basedOn w:val="Normal"/>
    <w:next w:val="Normal"/>
    <w:link w:val="Heading1Char"/>
    <w:uiPriority w:val="9"/>
    <w:qFormat/>
    <w:rsid w:val="0065448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487"/>
    <w:pPr>
      <w:ind w:left="720"/>
      <w:contextualSpacing/>
    </w:pPr>
  </w:style>
  <w:style w:type="paragraph" w:styleId="BalloonText">
    <w:name w:val="Balloon Text"/>
    <w:basedOn w:val="Normal"/>
    <w:link w:val="BalloonTextChar"/>
    <w:uiPriority w:val="99"/>
    <w:semiHidden/>
    <w:unhideWhenUsed/>
    <w:rsid w:val="0065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4487"/>
    <w:rPr>
      <w:rFonts w:ascii="Tahoma" w:eastAsiaTheme="minorEastAsia" w:hAnsi="Tahoma" w:cs="Tahoma"/>
      <w:sz w:val="16"/>
      <w:szCs w:val="16"/>
    </w:rPr>
  </w:style>
  <w:style w:type="character" w:customStyle="1" w:styleId="Heading1Char">
    <w:name w:val="Heading 1 Char"/>
    <w:basedOn w:val="DefaultParagraphFont"/>
    <w:link w:val="Heading1"/>
    <w:uiPriority w:val="9"/>
    <w:rsid w:val="00654487"/>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6544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Ama191</b:Tag>
    <b:SourceType>InternetSite</b:SourceType>
    <b:Guid>{5814F128-57F1-4A4C-AA11-7DB4CC191F3E}</b:Guid>
    <b:LCID>0</b:LCID>
    <b:Author>
      <b:Author>
        <b:NameList>
          <b:Person>
            <b:Last>Amadeo</b:Last>
            <b:First>Kimberley</b:First>
          </b:Person>
        </b:NameList>
      </b:Author>
    </b:Author>
    <b:Title>What Affects Oil Prices? Three Critical Factors</b:Title>
    <b:Year>2019</b:Year>
    <b:InternetSiteTitle>The Balance</b:InternetSiteTitle>
    <b:Month>May</b:Month>
    <b:Day>10</b:Day>
    <b:YearAccessed>2020</b:YearAccessed>
    <b:MonthAccessed>February</b:MonthAccessed>
    <b:URL>https://www.thebalance.com/how-are-oil-prices-determined-3305650</b:URL>
    <b:RefOrder>1</b:RefOrder>
  </b:Source>
</b:Sources>
</file>

<file path=customXml/itemProps1.xml><?xml version="1.0" encoding="utf-8"?>
<ds:datastoreItem xmlns:ds="http://schemas.openxmlformats.org/officeDocument/2006/customXml" ds:itemID="{5C689D32-94F2-4CF3-9762-03C2DA58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2020-02-02T15:55:00Z</dcterms:created>
  <dcterms:modified xsi:type="dcterms:W3CDTF">2020-02-02T16:00:00Z</dcterms:modified>
</cp:coreProperties>
</file>