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8D6" w:rsidRDefault="006F78D6" w:rsidP="006F78D6">
      <w:pPr>
        <w:jc w:val="center"/>
      </w:pPr>
    </w:p>
    <w:p w:rsidR="006F78D6" w:rsidRDefault="006F78D6" w:rsidP="006F78D6">
      <w:pPr>
        <w:jc w:val="center"/>
      </w:pPr>
    </w:p>
    <w:p w:rsidR="006F78D6" w:rsidRDefault="006F78D6" w:rsidP="006F78D6">
      <w:pPr>
        <w:jc w:val="center"/>
      </w:pPr>
    </w:p>
    <w:p w:rsidR="006F78D6" w:rsidRDefault="006F78D6" w:rsidP="006F78D6">
      <w:pPr>
        <w:jc w:val="center"/>
      </w:pPr>
    </w:p>
    <w:p w:rsidR="006F78D6" w:rsidRDefault="006F78D6" w:rsidP="006F78D6">
      <w:pPr>
        <w:jc w:val="center"/>
      </w:pPr>
    </w:p>
    <w:p w:rsidR="006F78D6" w:rsidRDefault="006F78D6" w:rsidP="006F78D6">
      <w:pPr>
        <w:jc w:val="center"/>
      </w:pPr>
    </w:p>
    <w:p w:rsidR="006F78D6" w:rsidRDefault="006F78D6" w:rsidP="006F78D6">
      <w:pPr>
        <w:jc w:val="center"/>
      </w:pPr>
    </w:p>
    <w:p w:rsidR="006F78D6" w:rsidRDefault="006F78D6" w:rsidP="006F78D6">
      <w:pPr>
        <w:jc w:val="center"/>
      </w:pPr>
    </w:p>
    <w:p w:rsidR="006F78D6" w:rsidRDefault="006F78D6" w:rsidP="006F78D6">
      <w:pPr>
        <w:jc w:val="center"/>
      </w:pPr>
    </w:p>
    <w:p w:rsidR="00F87BB6" w:rsidRDefault="006F78D6" w:rsidP="006F78D6">
      <w:pPr>
        <w:jc w:val="center"/>
      </w:pPr>
      <w:r>
        <w:t>Themes in Slavery and Witchcraft</w:t>
      </w:r>
    </w:p>
    <w:p w:rsidR="006F78D6" w:rsidRDefault="006F78D6" w:rsidP="006F78D6">
      <w:pPr>
        <w:jc w:val="center"/>
      </w:pPr>
      <w:r>
        <w:t>Student’s Name</w:t>
      </w:r>
    </w:p>
    <w:p w:rsidR="006F78D6" w:rsidRDefault="006F78D6" w:rsidP="006F78D6">
      <w:pPr>
        <w:jc w:val="center"/>
      </w:pPr>
      <w:r>
        <w:t>Institution</w:t>
      </w:r>
    </w:p>
    <w:p w:rsidR="006F78D6" w:rsidRDefault="006F78D6">
      <w:pPr>
        <w:spacing w:after="200" w:line="276" w:lineRule="auto"/>
      </w:pPr>
      <w:r>
        <w:br w:type="page"/>
      </w:r>
    </w:p>
    <w:p w:rsidR="006F78D6" w:rsidRDefault="00A215D3" w:rsidP="00A215D3">
      <w:pPr>
        <w:tabs>
          <w:tab w:val="center" w:pos="4680"/>
          <w:tab w:val="left" w:pos="7350"/>
        </w:tabs>
      </w:pPr>
      <w:r>
        <w:lastRenderedPageBreak/>
        <w:tab/>
      </w:r>
      <w:r w:rsidR="006F78D6">
        <w:t>Themes in Slavery and Witchcraft</w:t>
      </w:r>
      <w:r>
        <w:tab/>
      </w:r>
    </w:p>
    <w:p w:rsidR="006F78D6" w:rsidRDefault="006F78D6" w:rsidP="006F78D6">
      <w:r>
        <w:t>Oppression</w:t>
      </w:r>
    </w:p>
    <w:p w:rsidR="006F78D6" w:rsidRDefault="006F78D6" w:rsidP="006F78D6">
      <w:r>
        <w:t xml:space="preserve">           The two articles give insight concerning the struggles the blacks undergo as a slave and as witchcraft in the hands of the whites. In New England, the punishment for people presumed to have taken part in witchcraft activities was done by burning them. For example, an enslaved African woman, Maria, became indicted on the allegation that she burnt a building at Roxbury in Massachusetts in 1681</w:t>
      </w:r>
      <w:r w:rsidRPr="00F87BB6">
        <w:t xml:space="preserve"> </w:t>
      </w:r>
      <w:r>
        <w:t>(Barnes, 1975). She be</w:t>
      </w:r>
      <w:bookmarkStart w:id="0" w:name="_GoBack"/>
      <w:bookmarkEnd w:id="0"/>
      <w:r>
        <w:t>came sentenced for execution through burning at stake. Additionally, “Jack, negro servant to Mr. Samuel Woolcotone” was accused of taking part in arson by the court in New England. He was sentenced to execution by hanging and his body to be burnt ashes. The slavery of African people by whites was marred with social oppression. The slaves were used to perform labor and be sold at will by the whites.</w:t>
      </w:r>
    </w:p>
    <w:p w:rsidR="006F78D6" w:rsidRDefault="006F78D6" w:rsidP="006F78D6">
      <w:r>
        <w:t>Discrimination</w:t>
      </w:r>
    </w:p>
    <w:p w:rsidR="006F78D6" w:rsidRDefault="006F78D6" w:rsidP="006F78D6">
      <w:r>
        <w:t xml:space="preserve">           The articles state that the main casualties of slavery and accusation of witchcraft activities were the blacks. The whites who colonized most African states held the blacks as captives and used them in performing their tasks like the cultivation of land. Africans were segregated and racially discriminated as they were not allowed to mingle with whites freely. On the other hand, blacks accused of witchcraft claims were executed by burning and hanging in Europe. One typical example is New England, where many accounts of public executions of the blacks were held.</w:t>
      </w:r>
    </w:p>
    <w:p w:rsidR="006F78D6" w:rsidRDefault="006F78D6" w:rsidP="006F78D6">
      <w:r>
        <w:t>Harassment</w:t>
      </w:r>
    </w:p>
    <w:p w:rsidR="006F78D6" w:rsidRDefault="006F78D6" w:rsidP="006F78D6">
      <w:pPr>
        <w:ind w:firstLine="720"/>
      </w:pPr>
      <w:r>
        <w:t>Slaves in the Upper Guinea Coast were ill-treated with their counterparts, the whites. They were denied the essential basic needs that human beings need, like going to school</w:t>
      </w:r>
      <w:r w:rsidRPr="00687CAF">
        <w:t xml:space="preserve"> </w:t>
      </w:r>
      <w:r>
        <w:t xml:space="preserve">(Wadstrom, 1795). They were only used as laborers on a farm owned by the white settlers. </w:t>
      </w:r>
      <w:r>
        <w:lastRenderedPageBreak/>
        <w:t>Blacks as well accused whites of witchcraft claims. For instance, Wonn, a black man, accused Bridget Oliver of engaging in witchcraft and harassing him with apparitions like driving his horse away.</w:t>
      </w:r>
    </w:p>
    <w:p w:rsidR="00585DE8" w:rsidRDefault="00585DE8" w:rsidP="00585DE8">
      <w:pPr>
        <w:tabs>
          <w:tab w:val="left" w:pos="300"/>
        </w:tabs>
      </w:pPr>
      <w:r>
        <w:t>Resistance and Rebellion</w:t>
      </w:r>
    </w:p>
    <w:p w:rsidR="00585DE8" w:rsidRDefault="00585DE8" w:rsidP="00585DE8">
      <w:pPr>
        <w:tabs>
          <w:tab w:val="left" w:pos="300"/>
        </w:tabs>
      </w:pPr>
      <w:r>
        <w:tab/>
      </w:r>
      <w:r>
        <w:tab/>
        <w:t xml:space="preserve">In both the articles, the theme of resistance is depicted. Blacks tend to resist the ploys of whites to indict them as slaves. The blacks were held as captives by whites in Upper Guinea Coast. </w:t>
      </w:r>
      <w:r w:rsidR="00C02035">
        <w:t xml:space="preserve">They were tortured and abused. </w:t>
      </w:r>
      <w:r>
        <w:t>African</w:t>
      </w:r>
      <w:r w:rsidR="00C02035">
        <w:t>s</w:t>
      </w:r>
      <w:r>
        <w:t xml:space="preserve"> rebelled against whites and sort to ensure that slavery </w:t>
      </w:r>
      <w:r w:rsidR="00C02035">
        <w:t>was abolished in entire continent</w:t>
      </w:r>
      <w:r w:rsidR="00C02035" w:rsidRPr="00C02035">
        <w:t xml:space="preserve"> </w:t>
      </w:r>
      <w:r w:rsidR="00C02035">
        <w:t>(Crooks, I903)</w:t>
      </w:r>
      <w:r>
        <w:t>. On the other hand, the whites accused blacks of doing the crime of witchcraft. These accusations led to multiple deaths of people of the African descent living in Europe like New England. The move made blacks to look insignificant before whites. For instance, blacks were regarded to be powerless. Also, the blacks on different accounts accused whites of witchcraft. A black named Wonn accused Bridget Oliver of witchcraft as he claimed she used apparitions on him. Various revolts arose to ensure that racism against blacks was abolished. They included Nat Turner’s revolt and the Southampton slave revolt of 1831.</w:t>
      </w:r>
    </w:p>
    <w:p w:rsidR="00585DE8" w:rsidRDefault="00585DE8" w:rsidP="00585DE8">
      <w:pPr>
        <w:tabs>
          <w:tab w:val="left" w:pos="300"/>
        </w:tabs>
      </w:pPr>
      <w:r>
        <w:t>Abolition</w:t>
      </w:r>
    </w:p>
    <w:p w:rsidR="00D84AAC" w:rsidRDefault="00585DE8" w:rsidP="00585DE8">
      <w:pPr>
        <w:tabs>
          <w:tab w:val="left" w:pos="300"/>
        </w:tabs>
      </w:pPr>
      <w:r>
        <w:tab/>
      </w:r>
      <w:r>
        <w:tab/>
        <w:t>The blacks who became enslaved as well accused of witchcraft in New England and Africa held demonstrations to ensure that the vices were alleviated. In New England, some revolts became organized by Christian societies. Southampton revolt of 1831 was aimed at ensuring that blacks became fairly treated without being segregated. Other issues that were addressed included denouncing witchcraft accusations against blacks</w:t>
      </w:r>
      <w:r w:rsidR="00AE2D83" w:rsidRPr="00AE2D83">
        <w:t xml:space="preserve"> </w:t>
      </w:r>
      <w:r w:rsidR="00AE2D83">
        <w:t>(Demos, 1982)</w:t>
      </w:r>
      <w:r>
        <w:t>. The articles highlight the struggles of blacks to bring an end to social oppression they were subjected.</w:t>
      </w:r>
    </w:p>
    <w:p w:rsidR="00D84AAC" w:rsidRDefault="00D84AAC" w:rsidP="00916089"/>
    <w:p w:rsidR="006F78D6" w:rsidRDefault="006F78D6" w:rsidP="006F78D6">
      <w:pPr>
        <w:jc w:val="center"/>
      </w:pPr>
      <w:r>
        <w:lastRenderedPageBreak/>
        <w:t>References</w:t>
      </w:r>
    </w:p>
    <w:p w:rsidR="006F78D6" w:rsidRPr="00FB5281" w:rsidRDefault="006F78D6" w:rsidP="006F78D6">
      <w:pPr>
        <w:ind w:left="720" w:hanging="720"/>
      </w:pPr>
      <w:r>
        <w:t>Barnes, T. (Ed.). (1975). The book of the general lawes and libertyes concerning the inhabitants of the Massachusets. San Marino, CA: The Huntington Library. (Facsimile of the 1648 edition).</w:t>
      </w:r>
    </w:p>
    <w:p w:rsidR="006F78D6" w:rsidRDefault="006F78D6" w:rsidP="006F78D6">
      <w:pPr>
        <w:ind w:left="720" w:hanging="720"/>
      </w:pPr>
      <w:r>
        <w:t>C. B. Wadstrom, An Essay on Colonisation (London, 1795), part 2, pp. 113-117. A 'bar' originally signified an iron bar about 9 inches long. It came to be a unit of currency in the trade of the Upper Guinea Coast with a very imprecise and fluctuating value. Wadstrom estimated it at about 3s. (p. 56).</w:t>
      </w:r>
    </w:p>
    <w:p w:rsidR="00C02035" w:rsidRDefault="00C02035" w:rsidP="00C02035">
      <w:pPr>
        <w:ind w:left="720" w:hanging="720"/>
      </w:pPr>
      <w:r>
        <w:t>J. J. Crooks, in his A History of the Colony of Sierra Leone (Dublin, I903), holds to the view of African slavery being ancient, but he makes no connexion with the Atlantic slave-trade.</w:t>
      </w:r>
    </w:p>
    <w:p w:rsidR="00C02035" w:rsidRPr="005C5938" w:rsidRDefault="00C02035" w:rsidP="00C02035">
      <w:pPr>
        <w:ind w:left="720" w:hanging="720"/>
      </w:pPr>
      <w:r>
        <w:t>Demos, J. (1982). Entertaining Satan: Witchcraft and the culture of early New England. Oxford: Oxford University Press</w:t>
      </w:r>
    </w:p>
    <w:p w:rsidR="00C02035" w:rsidRDefault="00C02035" w:rsidP="006F78D6">
      <w:pPr>
        <w:ind w:left="720" w:hanging="720"/>
      </w:pPr>
    </w:p>
    <w:p w:rsidR="006F78D6" w:rsidRPr="00F87BB6" w:rsidRDefault="006F78D6" w:rsidP="006F78D6"/>
    <w:p w:rsidR="006F78D6" w:rsidRDefault="006F78D6" w:rsidP="006F78D6">
      <w:pPr>
        <w:jc w:val="center"/>
      </w:pPr>
    </w:p>
    <w:p w:rsidR="006F78D6" w:rsidRPr="006F78D6" w:rsidRDefault="006F78D6" w:rsidP="006F78D6">
      <w:pPr>
        <w:jc w:val="center"/>
      </w:pPr>
    </w:p>
    <w:sectPr w:rsidR="006F78D6" w:rsidRPr="006F78D6" w:rsidSect="006F78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DB6" w:rsidRDefault="00217DB6" w:rsidP="006F78D6">
      <w:pPr>
        <w:spacing w:line="240" w:lineRule="auto"/>
      </w:pPr>
      <w:r>
        <w:separator/>
      </w:r>
    </w:p>
  </w:endnote>
  <w:endnote w:type="continuationSeparator" w:id="0">
    <w:p w:rsidR="00217DB6" w:rsidRDefault="00217DB6" w:rsidP="006F7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DB6" w:rsidRDefault="00217DB6" w:rsidP="006F78D6">
      <w:pPr>
        <w:spacing w:line="240" w:lineRule="auto"/>
      </w:pPr>
      <w:r>
        <w:separator/>
      </w:r>
    </w:p>
  </w:footnote>
  <w:footnote w:type="continuationSeparator" w:id="0">
    <w:p w:rsidR="00217DB6" w:rsidRDefault="00217DB6" w:rsidP="006F78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151003"/>
      <w:docPartObj>
        <w:docPartGallery w:val="Page Numbers (Top of Page)"/>
        <w:docPartUnique/>
      </w:docPartObj>
    </w:sdtPr>
    <w:sdtEndPr/>
    <w:sdtContent>
      <w:p w:rsidR="006F78D6" w:rsidRDefault="006F78D6">
        <w:pPr>
          <w:pStyle w:val="Header"/>
          <w:jc w:val="right"/>
        </w:pPr>
        <w:r>
          <w:t>THEMES IN SLAVERY AND WITCHCRAFT</w:t>
        </w:r>
        <w:r>
          <w:tab/>
        </w:r>
        <w:r>
          <w:tab/>
        </w:r>
        <w:r w:rsidR="00217DB6">
          <w:fldChar w:fldCharType="begin"/>
        </w:r>
        <w:r w:rsidR="00217DB6">
          <w:instrText xml:space="preserve"> PAGE   \* MERGEFORMAT </w:instrText>
        </w:r>
        <w:r w:rsidR="00217DB6">
          <w:fldChar w:fldCharType="separate"/>
        </w:r>
        <w:r w:rsidR="00746D15">
          <w:rPr>
            <w:noProof/>
          </w:rPr>
          <w:t>2</w:t>
        </w:r>
        <w:r w:rsidR="00217DB6">
          <w:rPr>
            <w:noProof/>
          </w:rPr>
          <w:fldChar w:fldCharType="end"/>
        </w:r>
      </w:p>
    </w:sdtContent>
  </w:sdt>
  <w:p w:rsidR="006F78D6" w:rsidRDefault="006F78D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8D6" w:rsidRDefault="006F78D6">
    <w:pPr>
      <w:pStyle w:val="Header"/>
    </w:pPr>
    <w:r>
      <w:t>Running Head: THEMES IN SLAVERY AND WITCHCRAFT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DBA"/>
    <w:rsid w:val="0004719E"/>
    <w:rsid w:val="00132F88"/>
    <w:rsid w:val="00217DB6"/>
    <w:rsid w:val="003107F2"/>
    <w:rsid w:val="00377423"/>
    <w:rsid w:val="003A39F6"/>
    <w:rsid w:val="003C5DBA"/>
    <w:rsid w:val="00434D5C"/>
    <w:rsid w:val="00514D12"/>
    <w:rsid w:val="00527D59"/>
    <w:rsid w:val="00585DE8"/>
    <w:rsid w:val="00662263"/>
    <w:rsid w:val="00687CAF"/>
    <w:rsid w:val="006F78D6"/>
    <w:rsid w:val="00746D15"/>
    <w:rsid w:val="00767982"/>
    <w:rsid w:val="00873A9C"/>
    <w:rsid w:val="0091234B"/>
    <w:rsid w:val="00916089"/>
    <w:rsid w:val="009D6DD3"/>
    <w:rsid w:val="00A215D3"/>
    <w:rsid w:val="00A6656A"/>
    <w:rsid w:val="00AA5FC1"/>
    <w:rsid w:val="00AE2D83"/>
    <w:rsid w:val="00AF78EF"/>
    <w:rsid w:val="00C02035"/>
    <w:rsid w:val="00CB3073"/>
    <w:rsid w:val="00CC082F"/>
    <w:rsid w:val="00D16840"/>
    <w:rsid w:val="00D84AAC"/>
    <w:rsid w:val="00E647EC"/>
    <w:rsid w:val="00F87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4044FD-61AA-4CB7-A26E-8C899AB53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8EF"/>
    <w:pPr>
      <w:spacing w:after="0" w:line="480" w:lineRule="auto"/>
    </w:pPr>
    <w:rPr>
      <w:rFonts w:ascii="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8D6"/>
    <w:pPr>
      <w:tabs>
        <w:tab w:val="center" w:pos="4680"/>
        <w:tab w:val="right" w:pos="9360"/>
      </w:tabs>
      <w:spacing w:line="240" w:lineRule="auto"/>
    </w:pPr>
  </w:style>
  <w:style w:type="character" w:customStyle="1" w:styleId="HeaderChar">
    <w:name w:val="Header Char"/>
    <w:basedOn w:val="DefaultParagraphFont"/>
    <w:link w:val="Header"/>
    <w:uiPriority w:val="99"/>
    <w:rsid w:val="006F78D6"/>
    <w:rPr>
      <w:rFonts w:ascii="Times New Roman" w:hAnsi="Times New Roman" w:cs="Times New Roman"/>
      <w:sz w:val="24"/>
      <w:szCs w:val="24"/>
      <w:lang w:bidi="en-US"/>
    </w:rPr>
  </w:style>
  <w:style w:type="paragraph" w:styleId="Footer">
    <w:name w:val="footer"/>
    <w:basedOn w:val="Normal"/>
    <w:link w:val="FooterChar"/>
    <w:uiPriority w:val="99"/>
    <w:semiHidden/>
    <w:unhideWhenUsed/>
    <w:rsid w:val="006F78D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F78D6"/>
    <w:rPr>
      <w:rFonts w:ascii="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668493">
      <w:bodyDiv w:val="1"/>
      <w:marLeft w:val="0"/>
      <w:marRight w:val="0"/>
      <w:marTop w:val="0"/>
      <w:marBottom w:val="0"/>
      <w:divBdr>
        <w:top w:val="none" w:sz="0" w:space="0" w:color="auto"/>
        <w:left w:val="none" w:sz="0" w:space="0" w:color="auto"/>
        <w:bottom w:val="none" w:sz="0" w:space="0" w:color="auto"/>
        <w:right w:val="none" w:sz="0" w:space="0" w:color="auto"/>
      </w:divBdr>
      <w:divsChild>
        <w:div w:id="165248540">
          <w:marLeft w:val="0"/>
          <w:marRight w:val="0"/>
          <w:marTop w:val="0"/>
          <w:marBottom w:val="0"/>
          <w:divBdr>
            <w:top w:val="none" w:sz="0" w:space="0" w:color="auto"/>
            <w:left w:val="none" w:sz="0" w:space="0" w:color="auto"/>
            <w:bottom w:val="none" w:sz="0" w:space="0" w:color="auto"/>
            <w:right w:val="none" w:sz="0" w:space="0" w:color="auto"/>
          </w:divBdr>
        </w:div>
      </w:divsChild>
    </w:div>
    <w:div w:id="1688019200">
      <w:bodyDiv w:val="1"/>
      <w:marLeft w:val="0"/>
      <w:marRight w:val="0"/>
      <w:marTop w:val="0"/>
      <w:marBottom w:val="0"/>
      <w:divBdr>
        <w:top w:val="none" w:sz="0" w:space="0" w:color="auto"/>
        <w:left w:val="none" w:sz="0" w:space="0" w:color="auto"/>
        <w:bottom w:val="none" w:sz="0" w:space="0" w:color="auto"/>
        <w:right w:val="none" w:sz="0" w:space="0" w:color="auto"/>
      </w:divBdr>
      <w:divsChild>
        <w:div w:id="1999142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2019-12-08T03:02:00Z</dcterms:created>
  <dcterms:modified xsi:type="dcterms:W3CDTF">2019-12-08T03:02:00Z</dcterms:modified>
</cp:coreProperties>
</file>