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8F1" w:rsidRDefault="00E908F1" w:rsidP="00E908F1">
      <w:pPr>
        <w:spacing w:line="480" w:lineRule="auto"/>
        <w:jc w:val="center"/>
        <w:rPr>
          <w:rFonts w:ascii="Times New Roman" w:hAnsi="Times New Roman" w:cs="Times New Roman"/>
          <w:sz w:val="24"/>
          <w:szCs w:val="24"/>
        </w:rPr>
      </w:pPr>
    </w:p>
    <w:p w:rsidR="00E908F1" w:rsidRDefault="00E908F1" w:rsidP="00E908F1">
      <w:pPr>
        <w:spacing w:line="480" w:lineRule="auto"/>
        <w:jc w:val="center"/>
        <w:rPr>
          <w:rFonts w:ascii="Times New Roman" w:hAnsi="Times New Roman" w:cs="Times New Roman"/>
          <w:sz w:val="24"/>
          <w:szCs w:val="24"/>
        </w:rPr>
      </w:pPr>
    </w:p>
    <w:p w:rsidR="00E908F1" w:rsidRDefault="00E908F1" w:rsidP="00E908F1">
      <w:pPr>
        <w:spacing w:line="480" w:lineRule="auto"/>
        <w:jc w:val="center"/>
        <w:rPr>
          <w:rFonts w:ascii="Times New Roman" w:hAnsi="Times New Roman" w:cs="Times New Roman"/>
          <w:sz w:val="24"/>
          <w:szCs w:val="24"/>
        </w:rPr>
      </w:pPr>
      <w:r>
        <w:rPr>
          <w:rFonts w:ascii="Times New Roman" w:hAnsi="Times New Roman" w:cs="Times New Roman"/>
          <w:sz w:val="24"/>
          <w:szCs w:val="24"/>
        </w:rPr>
        <w:t>Osmosis Questions</w:t>
      </w:r>
    </w:p>
    <w:p w:rsidR="00E908F1" w:rsidRPr="00E908F1" w:rsidRDefault="00E908F1" w:rsidP="00E908F1">
      <w:pPr>
        <w:spacing w:line="480" w:lineRule="auto"/>
        <w:jc w:val="center"/>
        <w:rPr>
          <w:rFonts w:ascii="Times New Roman" w:hAnsi="Times New Roman" w:cs="Times New Roman"/>
          <w:sz w:val="24"/>
          <w:szCs w:val="24"/>
        </w:rPr>
      </w:pPr>
      <w:r w:rsidRPr="00E908F1">
        <w:rPr>
          <w:rFonts w:ascii="Times New Roman" w:hAnsi="Times New Roman" w:cs="Times New Roman"/>
          <w:sz w:val="24"/>
          <w:szCs w:val="24"/>
        </w:rPr>
        <w:t>Student’s name</w:t>
      </w:r>
    </w:p>
    <w:p w:rsidR="00E908F1" w:rsidRPr="00E908F1" w:rsidRDefault="00E908F1" w:rsidP="00E908F1">
      <w:pPr>
        <w:spacing w:line="480" w:lineRule="auto"/>
        <w:jc w:val="center"/>
        <w:rPr>
          <w:rFonts w:ascii="Times New Roman" w:hAnsi="Times New Roman" w:cs="Times New Roman"/>
          <w:sz w:val="24"/>
          <w:szCs w:val="24"/>
        </w:rPr>
      </w:pPr>
      <w:r w:rsidRPr="00E908F1">
        <w:rPr>
          <w:rFonts w:ascii="Times New Roman" w:hAnsi="Times New Roman" w:cs="Times New Roman"/>
          <w:sz w:val="24"/>
          <w:szCs w:val="24"/>
        </w:rPr>
        <w:t>Institutional affiliation</w:t>
      </w:r>
    </w:p>
    <w:p w:rsidR="00E908F1" w:rsidRPr="00E908F1" w:rsidRDefault="00E908F1" w:rsidP="00E908F1">
      <w:pPr>
        <w:spacing w:line="480" w:lineRule="auto"/>
        <w:jc w:val="center"/>
        <w:rPr>
          <w:rFonts w:ascii="Times New Roman" w:hAnsi="Times New Roman" w:cs="Times New Roman"/>
          <w:sz w:val="24"/>
          <w:szCs w:val="24"/>
        </w:rPr>
      </w:pPr>
      <w:r w:rsidRPr="00E908F1">
        <w:rPr>
          <w:rFonts w:ascii="Times New Roman" w:hAnsi="Times New Roman" w:cs="Times New Roman"/>
          <w:sz w:val="24"/>
          <w:szCs w:val="24"/>
        </w:rPr>
        <w:t>Course-name</w:t>
      </w:r>
    </w:p>
    <w:p w:rsidR="00E908F1" w:rsidRPr="00E908F1" w:rsidRDefault="00E908F1" w:rsidP="00E908F1">
      <w:pPr>
        <w:spacing w:line="480" w:lineRule="auto"/>
        <w:jc w:val="center"/>
        <w:rPr>
          <w:rFonts w:ascii="Times New Roman" w:hAnsi="Times New Roman" w:cs="Times New Roman"/>
          <w:sz w:val="24"/>
          <w:szCs w:val="24"/>
        </w:rPr>
      </w:pPr>
      <w:r w:rsidRPr="00E908F1">
        <w:rPr>
          <w:rFonts w:ascii="Times New Roman" w:hAnsi="Times New Roman" w:cs="Times New Roman"/>
          <w:sz w:val="24"/>
          <w:szCs w:val="24"/>
        </w:rPr>
        <w:t>Course number</w:t>
      </w:r>
    </w:p>
    <w:p w:rsidR="00E908F1" w:rsidRPr="00E908F1" w:rsidRDefault="00E908F1" w:rsidP="00E908F1">
      <w:pPr>
        <w:spacing w:line="480" w:lineRule="auto"/>
        <w:jc w:val="center"/>
        <w:rPr>
          <w:rFonts w:ascii="Times New Roman" w:hAnsi="Times New Roman" w:cs="Times New Roman"/>
          <w:sz w:val="24"/>
          <w:szCs w:val="24"/>
        </w:rPr>
      </w:pPr>
      <w:r w:rsidRPr="00E908F1">
        <w:rPr>
          <w:rFonts w:ascii="Times New Roman" w:hAnsi="Times New Roman" w:cs="Times New Roman"/>
          <w:sz w:val="24"/>
          <w:szCs w:val="24"/>
        </w:rPr>
        <w:t>Date of submission</w:t>
      </w:r>
    </w:p>
    <w:p w:rsidR="00E908F1" w:rsidRDefault="00E908F1" w:rsidP="00E908F1">
      <w:pPr>
        <w:spacing w:line="480" w:lineRule="auto"/>
        <w:jc w:val="center"/>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CB4EC3" w:rsidRPr="00E908F1" w:rsidRDefault="00916635" w:rsidP="00E908F1">
      <w:pPr>
        <w:spacing w:line="480" w:lineRule="auto"/>
        <w:rPr>
          <w:rFonts w:ascii="Times New Roman" w:hAnsi="Times New Roman" w:cs="Times New Roman"/>
          <w:sz w:val="24"/>
          <w:szCs w:val="24"/>
        </w:rPr>
      </w:pPr>
      <w:r w:rsidRPr="00E908F1">
        <w:rPr>
          <w:rFonts w:ascii="Times New Roman" w:hAnsi="Times New Roman" w:cs="Times New Roman"/>
          <w:sz w:val="24"/>
          <w:szCs w:val="24"/>
        </w:rPr>
        <w:lastRenderedPageBreak/>
        <w:t>Question 1</w:t>
      </w:r>
    </w:p>
    <w:p w:rsidR="002C002D" w:rsidRPr="00E908F1" w:rsidRDefault="00916635" w:rsidP="00E908F1">
      <w:pPr>
        <w:spacing w:line="480" w:lineRule="auto"/>
        <w:rPr>
          <w:rFonts w:ascii="Times New Roman" w:hAnsi="Times New Roman" w:cs="Times New Roman"/>
          <w:sz w:val="24"/>
          <w:szCs w:val="24"/>
        </w:rPr>
      </w:pPr>
      <w:r w:rsidRPr="00E908F1">
        <w:rPr>
          <w:rFonts w:ascii="Times New Roman" w:hAnsi="Times New Roman" w:cs="Times New Roman"/>
          <w:sz w:val="24"/>
          <w:szCs w:val="24"/>
        </w:rPr>
        <w:t>Salinity adversely affects plants' cells, especially by hindering the uptake of water from the soil by the cell walls by imposing</w:t>
      </w:r>
      <w:r w:rsidR="00BE116D">
        <w:rPr>
          <w:rFonts w:ascii="Times New Roman" w:hAnsi="Times New Roman" w:cs="Times New Roman"/>
          <w:sz w:val="24"/>
          <w:szCs w:val="24"/>
        </w:rPr>
        <w:t xml:space="preserve"> the </w:t>
      </w:r>
      <w:r w:rsidRPr="00E908F1">
        <w:rPr>
          <w:rFonts w:ascii="Times New Roman" w:hAnsi="Times New Roman" w:cs="Times New Roman"/>
          <w:sz w:val="24"/>
          <w:szCs w:val="24"/>
        </w:rPr>
        <w:t>toxicity</w:t>
      </w:r>
      <w:r w:rsidR="00BE116D">
        <w:rPr>
          <w:rFonts w:ascii="Times New Roman" w:hAnsi="Times New Roman" w:cs="Times New Roman"/>
          <w:sz w:val="24"/>
          <w:szCs w:val="24"/>
        </w:rPr>
        <w:t xml:space="preserve"> of the ion, plant’s nutrient deficiency as well as</w:t>
      </w:r>
      <w:bookmarkStart w:id="0" w:name="_GoBack"/>
      <w:bookmarkEnd w:id="0"/>
      <w:r w:rsidR="00BE116D">
        <w:rPr>
          <w:rFonts w:ascii="Times New Roman" w:hAnsi="Times New Roman" w:cs="Times New Roman"/>
          <w:sz w:val="24"/>
          <w:szCs w:val="24"/>
        </w:rPr>
        <w:t xml:space="preserve"> osmotic and oxidative stress</w:t>
      </w:r>
      <w:r w:rsidRPr="00E908F1">
        <w:rPr>
          <w:rFonts w:ascii="Times New Roman" w:hAnsi="Times New Roman" w:cs="Times New Roman"/>
          <w:sz w:val="24"/>
          <w:szCs w:val="24"/>
        </w:rPr>
        <w:t xml:space="preserve">. For instance, excessive sodium accumulation in cell walls rapidly results in the cell's osmotic stress and death. Osmotic balance is critical for the plants in saline medium, and lack of </w:t>
      </w:r>
      <w:r w:rsidR="00F51CB5" w:rsidRPr="00E908F1">
        <w:rPr>
          <w:rFonts w:ascii="Times New Roman" w:hAnsi="Times New Roman" w:cs="Times New Roman"/>
          <w:sz w:val="24"/>
          <w:szCs w:val="24"/>
        </w:rPr>
        <w:t>balance leads to turgidity loss and dehydration of the cell, which ultimately leads to the cell's death</w:t>
      </w:r>
      <w:r w:rsidR="00346AB9" w:rsidRPr="00346AB9">
        <w:rPr>
          <w:rFonts w:ascii="Times New Roman" w:hAnsi="Times New Roman" w:cs="Times New Roman"/>
          <w:sz w:val="24"/>
          <w:szCs w:val="24"/>
        </w:rPr>
        <w:t xml:space="preserve"> </w:t>
      </w:r>
      <w:r w:rsidR="00346AB9">
        <w:rPr>
          <w:rFonts w:ascii="Times New Roman" w:hAnsi="Times New Roman" w:cs="Times New Roman"/>
          <w:sz w:val="24"/>
          <w:szCs w:val="24"/>
        </w:rPr>
        <w:t>(</w:t>
      </w:r>
      <w:proofErr w:type="spellStart"/>
      <w:r w:rsidR="00346AB9" w:rsidRPr="00346AB9">
        <w:rPr>
          <w:rFonts w:ascii="Times New Roman" w:hAnsi="Times New Roman" w:cs="Times New Roman"/>
          <w:sz w:val="24"/>
          <w:szCs w:val="24"/>
        </w:rPr>
        <w:t>Munns</w:t>
      </w:r>
      <w:proofErr w:type="spellEnd"/>
      <w:r w:rsidR="00346AB9">
        <w:rPr>
          <w:rFonts w:ascii="Times New Roman" w:hAnsi="Times New Roman" w:cs="Times New Roman"/>
          <w:sz w:val="24"/>
          <w:szCs w:val="24"/>
        </w:rPr>
        <w:t xml:space="preserve"> et al. 2020). When concentration is high outside the cell, it makes the water to </w:t>
      </w:r>
      <w:r w:rsidR="00F51CB5" w:rsidRPr="00E908F1">
        <w:rPr>
          <w:rFonts w:ascii="Times New Roman" w:hAnsi="Times New Roman" w:cs="Times New Roman"/>
          <w:sz w:val="24"/>
          <w:szCs w:val="24"/>
        </w:rPr>
        <w:t>diffuse out from the cell, causing dehydration and shrinking of the cell hence ceasing the cellular metabolism.</w:t>
      </w:r>
      <w:r w:rsidR="00DD6FFB" w:rsidRPr="00E908F1">
        <w:rPr>
          <w:rFonts w:ascii="Times New Roman" w:hAnsi="Times New Roman" w:cs="Times New Roman"/>
          <w:sz w:val="24"/>
          <w:szCs w:val="24"/>
        </w:rPr>
        <w:t xml:space="preserve"> In a hypotonic environment, water diffuses to the cell, and as a result, the cell starts to swell, a situation that may result in an explosion of the sorts.</w:t>
      </w:r>
      <w:r w:rsidR="00CB4EC3" w:rsidRPr="00E908F1">
        <w:rPr>
          <w:rFonts w:ascii="Times New Roman" w:hAnsi="Times New Roman" w:cs="Times New Roman"/>
          <w:sz w:val="24"/>
          <w:szCs w:val="24"/>
        </w:rPr>
        <w:t xml:space="preserve"> </w:t>
      </w:r>
      <w:r w:rsidR="00DD6FFB" w:rsidRPr="00E908F1">
        <w:rPr>
          <w:rFonts w:ascii="Times New Roman" w:hAnsi="Times New Roman" w:cs="Times New Roman"/>
          <w:sz w:val="24"/>
          <w:szCs w:val="24"/>
        </w:rPr>
        <w:t xml:space="preserve">However, if the concentrations of salts equal </w:t>
      </w:r>
      <w:r w:rsidR="00682911" w:rsidRPr="00E908F1">
        <w:rPr>
          <w:rFonts w:ascii="Times New Roman" w:hAnsi="Times New Roman" w:cs="Times New Roman"/>
          <w:sz w:val="24"/>
          <w:szCs w:val="24"/>
        </w:rPr>
        <w:t>between the cell interior and the environment, there is no net loss of water loss. This situation is referred to as isotonic.</w:t>
      </w:r>
    </w:p>
    <w:p w:rsidR="00682911" w:rsidRPr="00E908F1" w:rsidRDefault="00916635" w:rsidP="00E908F1">
      <w:pPr>
        <w:spacing w:line="480" w:lineRule="auto"/>
        <w:rPr>
          <w:rFonts w:ascii="Times New Roman" w:hAnsi="Times New Roman" w:cs="Times New Roman"/>
          <w:sz w:val="24"/>
          <w:szCs w:val="24"/>
        </w:rPr>
      </w:pPr>
      <w:r w:rsidRPr="00E908F1">
        <w:rPr>
          <w:rFonts w:ascii="Times New Roman" w:hAnsi="Times New Roman" w:cs="Times New Roman"/>
          <w:sz w:val="24"/>
          <w:szCs w:val="24"/>
        </w:rPr>
        <w:t xml:space="preserve">To combat the situation, scientists can leach salt from the root zone, use salt-tolerant plants, and change the practices of farm management. This calls for practices such as adopting the methodology of partial root-zone drying and drip irrigation to optimize water use. Dryland salinity can be controlled by reducing </w:t>
      </w:r>
      <w:r w:rsidR="00BD21FF" w:rsidRPr="00E908F1">
        <w:rPr>
          <w:rFonts w:ascii="Times New Roman" w:hAnsi="Times New Roman" w:cs="Times New Roman"/>
          <w:sz w:val="24"/>
          <w:szCs w:val="24"/>
        </w:rPr>
        <w:t>the water amount that passes beyond the roots, which can be done by deep-rooted perennial crops re-introduction that is capable of growing and using water when annual crop plants are not supported seasons. It assists in the restoration of water use and rainfall balance, therefore controlling the movement of salt and rising water tables to the soil's surface</w:t>
      </w:r>
      <w:r w:rsidR="00346AB9">
        <w:rPr>
          <w:rFonts w:ascii="Times New Roman" w:hAnsi="Times New Roman" w:cs="Times New Roman"/>
          <w:sz w:val="24"/>
          <w:szCs w:val="24"/>
        </w:rPr>
        <w:t xml:space="preserve"> </w:t>
      </w:r>
      <w:r w:rsidR="00346AB9" w:rsidRPr="00346AB9">
        <w:rPr>
          <w:rFonts w:ascii="Times New Roman" w:hAnsi="Times New Roman" w:cs="Times New Roman"/>
          <w:sz w:val="24"/>
          <w:szCs w:val="24"/>
        </w:rPr>
        <w:t>(</w:t>
      </w:r>
      <w:proofErr w:type="spellStart"/>
      <w:r w:rsidR="00346AB9" w:rsidRPr="00346AB9">
        <w:rPr>
          <w:rFonts w:ascii="Times New Roman" w:hAnsi="Times New Roman" w:cs="Times New Roman"/>
          <w:sz w:val="24"/>
          <w:szCs w:val="24"/>
        </w:rPr>
        <w:t>Munns</w:t>
      </w:r>
      <w:proofErr w:type="spellEnd"/>
      <w:r w:rsidR="00346AB9" w:rsidRPr="00346AB9">
        <w:rPr>
          <w:rFonts w:ascii="Times New Roman" w:hAnsi="Times New Roman" w:cs="Times New Roman"/>
          <w:sz w:val="24"/>
          <w:szCs w:val="24"/>
        </w:rPr>
        <w:t xml:space="preserve"> et al. 2020)</w:t>
      </w:r>
      <w:r w:rsidR="00BD21FF" w:rsidRPr="00E908F1">
        <w:rPr>
          <w:rFonts w:ascii="Times New Roman" w:hAnsi="Times New Roman" w:cs="Times New Roman"/>
          <w:sz w:val="24"/>
          <w:szCs w:val="24"/>
        </w:rPr>
        <w:t xml:space="preserve">. </w:t>
      </w:r>
    </w:p>
    <w:p w:rsidR="00CB4EC3" w:rsidRPr="00E908F1" w:rsidRDefault="00916635" w:rsidP="00E908F1">
      <w:pPr>
        <w:spacing w:line="480" w:lineRule="auto"/>
        <w:rPr>
          <w:rFonts w:ascii="Times New Roman" w:hAnsi="Times New Roman" w:cs="Times New Roman"/>
          <w:sz w:val="24"/>
          <w:szCs w:val="24"/>
        </w:rPr>
      </w:pPr>
      <w:r w:rsidRPr="00E908F1">
        <w:rPr>
          <w:rFonts w:ascii="Times New Roman" w:hAnsi="Times New Roman" w:cs="Times New Roman"/>
          <w:sz w:val="24"/>
          <w:szCs w:val="24"/>
        </w:rPr>
        <w:t>Question 2</w:t>
      </w:r>
    </w:p>
    <w:p w:rsidR="00346AB9" w:rsidRPr="00346AB9" w:rsidRDefault="00916635" w:rsidP="00346AB9">
      <w:pPr>
        <w:spacing w:line="480" w:lineRule="auto"/>
        <w:rPr>
          <w:rFonts w:ascii="Times New Roman" w:hAnsi="Times New Roman" w:cs="Times New Roman"/>
          <w:sz w:val="24"/>
          <w:szCs w:val="24"/>
        </w:rPr>
      </w:pPr>
      <w:r w:rsidRPr="00E908F1">
        <w:rPr>
          <w:rFonts w:ascii="Times New Roman" w:hAnsi="Times New Roman" w:cs="Times New Roman"/>
          <w:sz w:val="24"/>
          <w:szCs w:val="24"/>
        </w:rPr>
        <w:lastRenderedPageBreak/>
        <w:t>The initial management included intraosseous line or intravenous placement and rapid administration of an isotonic crystalloid 20ml/kg</w:t>
      </w:r>
      <w:r w:rsidR="00DD5464" w:rsidRPr="00E908F1">
        <w:rPr>
          <w:rFonts w:ascii="Times New Roman" w:hAnsi="Times New Roman" w:cs="Times New Roman"/>
          <w:sz w:val="24"/>
          <w:szCs w:val="24"/>
        </w:rPr>
        <w:t xml:space="preserve"> for dehydration. The patient was receiving 0.25% or 0.45% sodium chloride, and potassium chloride could be added in case of low concentration for replacing the gastrointestinal system losses. Its tonicity part influences I.V's solution's impact on fluid body movement, or the solution solutes concentration</w:t>
      </w:r>
      <w:r w:rsidR="00346AB9">
        <w:rPr>
          <w:rFonts w:ascii="Times New Roman" w:hAnsi="Times New Roman" w:cs="Times New Roman"/>
          <w:sz w:val="24"/>
          <w:szCs w:val="24"/>
        </w:rPr>
        <w:t xml:space="preserve"> </w:t>
      </w:r>
      <w:r w:rsidR="00346AB9" w:rsidRPr="00346AB9">
        <w:rPr>
          <w:rFonts w:ascii="Times New Roman" w:hAnsi="Times New Roman" w:cs="Times New Roman"/>
          <w:sz w:val="24"/>
          <w:szCs w:val="24"/>
        </w:rPr>
        <w:t>(Story, 2020).</w:t>
      </w:r>
    </w:p>
    <w:p w:rsidR="00BD21FF" w:rsidRPr="00E908F1" w:rsidRDefault="00DD5464" w:rsidP="00E908F1">
      <w:pPr>
        <w:spacing w:line="480" w:lineRule="auto"/>
        <w:rPr>
          <w:rFonts w:ascii="Times New Roman" w:hAnsi="Times New Roman" w:cs="Times New Roman"/>
          <w:sz w:val="24"/>
          <w:szCs w:val="24"/>
        </w:rPr>
      </w:pPr>
      <w:r w:rsidRPr="00E908F1">
        <w:rPr>
          <w:rFonts w:ascii="Times New Roman" w:hAnsi="Times New Roman" w:cs="Times New Roman"/>
          <w:sz w:val="24"/>
          <w:szCs w:val="24"/>
        </w:rPr>
        <w:t>. Parenteral solutions are categorized on the tonicity, which is relative to the plasma on normal blood.</w:t>
      </w:r>
      <w:r w:rsidR="0044397B" w:rsidRPr="00E908F1">
        <w:rPr>
          <w:rFonts w:ascii="Times New Roman" w:hAnsi="Times New Roman" w:cs="Times New Roman"/>
          <w:sz w:val="24"/>
          <w:szCs w:val="24"/>
        </w:rPr>
        <w:t xml:space="preserve"> This puts more water than what is inside the cells in the serum</w:t>
      </w:r>
      <w:r w:rsidRPr="00E908F1">
        <w:rPr>
          <w:rFonts w:ascii="Times New Roman" w:hAnsi="Times New Roman" w:cs="Times New Roman"/>
          <w:sz w:val="24"/>
          <w:szCs w:val="24"/>
        </w:rPr>
        <w:t xml:space="preserve">, </w:t>
      </w:r>
      <w:r w:rsidR="0044397B" w:rsidRPr="00E908F1">
        <w:rPr>
          <w:rFonts w:ascii="Times New Roman" w:hAnsi="Times New Roman" w:cs="Times New Roman"/>
          <w:sz w:val="24"/>
          <w:szCs w:val="24"/>
        </w:rPr>
        <w:t>resulting in the cells' swelling, hence helping to replace the intracellular fluid.</w:t>
      </w:r>
    </w:p>
    <w:p w:rsidR="00E908F1" w:rsidRDefault="00916635" w:rsidP="00E908F1">
      <w:pPr>
        <w:spacing w:line="480" w:lineRule="auto"/>
        <w:rPr>
          <w:rFonts w:ascii="Times New Roman" w:hAnsi="Times New Roman" w:cs="Times New Roman"/>
          <w:sz w:val="24"/>
          <w:szCs w:val="24"/>
        </w:rPr>
      </w:pPr>
      <w:r w:rsidRPr="00E908F1">
        <w:rPr>
          <w:rFonts w:ascii="Times New Roman" w:hAnsi="Times New Roman" w:cs="Times New Roman"/>
          <w:sz w:val="24"/>
          <w:szCs w:val="24"/>
        </w:rPr>
        <w:t>To the cells of the patient, this administration assists in the resuscitation of the volume such that there is an expansion of the intravascular volume, which increases preload and therefore leading to perfusion. It also provides sodium lactate to the body, a bioenergetics fuel designed for the human body to metabolize, therefore lowering cellular death from ischemia. Additionally, it distributes across the volumes of the whole extracellular compartment, both intravascular and interstitial, which is likely proportional to the compartment</w:t>
      </w:r>
      <w:r w:rsidR="00CB4EC3" w:rsidRPr="00E908F1">
        <w:rPr>
          <w:rFonts w:ascii="Times New Roman" w:hAnsi="Times New Roman" w:cs="Times New Roman"/>
          <w:sz w:val="24"/>
          <w:szCs w:val="24"/>
        </w:rPr>
        <w:t>'s volumes. I.V solutions also restore fluid balance, which is important for building materials and cellular metabolism</w:t>
      </w:r>
      <w:r w:rsidR="00346AB9" w:rsidRPr="00346AB9">
        <w:rPr>
          <w:rFonts w:ascii="Times New Roman" w:hAnsi="Times New Roman" w:cs="Times New Roman"/>
          <w:sz w:val="24"/>
          <w:szCs w:val="24"/>
        </w:rPr>
        <w:t xml:space="preserve"> </w:t>
      </w:r>
      <w:r w:rsidR="00346AB9">
        <w:rPr>
          <w:rFonts w:ascii="Times New Roman" w:hAnsi="Times New Roman" w:cs="Times New Roman"/>
          <w:sz w:val="24"/>
          <w:szCs w:val="24"/>
        </w:rPr>
        <w:t xml:space="preserve">(Story, </w:t>
      </w:r>
      <w:r w:rsidR="00346AB9" w:rsidRPr="00346AB9">
        <w:rPr>
          <w:rFonts w:ascii="Times New Roman" w:hAnsi="Times New Roman" w:cs="Times New Roman"/>
          <w:sz w:val="24"/>
          <w:szCs w:val="24"/>
        </w:rPr>
        <w:t>2020)</w:t>
      </w:r>
      <w:r w:rsidR="00CB4EC3" w:rsidRPr="00E908F1">
        <w:rPr>
          <w:rFonts w:ascii="Times New Roman" w:hAnsi="Times New Roman" w:cs="Times New Roman"/>
          <w:sz w:val="24"/>
          <w:szCs w:val="24"/>
        </w:rPr>
        <w:t>.</w:t>
      </w: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E908F1" w:rsidRDefault="00E908F1" w:rsidP="00E908F1">
      <w:pPr>
        <w:spacing w:line="480" w:lineRule="auto"/>
        <w:rPr>
          <w:rFonts w:ascii="Times New Roman" w:hAnsi="Times New Roman" w:cs="Times New Roman"/>
          <w:sz w:val="24"/>
          <w:szCs w:val="24"/>
        </w:rPr>
      </w:pPr>
    </w:p>
    <w:p w:rsidR="0044397B" w:rsidRDefault="00E908F1" w:rsidP="00E908F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08F1" w:rsidRDefault="00E908F1" w:rsidP="00E908F1">
      <w:pPr>
        <w:spacing w:line="480" w:lineRule="auto"/>
        <w:ind w:left="720" w:hanging="720"/>
        <w:rPr>
          <w:rFonts w:ascii="Times New Roman" w:hAnsi="Times New Roman" w:cs="Times New Roman"/>
          <w:sz w:val="24"/>
          <w:szCs w:val="24"/>
        </w:rPr>
      </w:pPr>
      <w:proofErr w:type="spellStart"/>
      <w:proofErr w:type="gramStart"/>
      <w:r w:rsidRPr="00E908F1">
        <w:rPr>
          <w:rFonts w:ascii="Times New Roman" w:hAnsi="Times New Roman" w:cs="Times New Roman"/>
          <w:sz w:val="24"/>
          <w:szCs w:val="24"/>
        </w:rPr>
        <w:t>Munns</w:t>
      </w:r>
      <w:proofErr w:type="spellEnd"/>
      <w:r w:rsidRPr="00E908F1">
        <w:rPr>
          <w:rFonts w:ascii="Times New Roman" w:hAnsi="Times New Roman" w:cs="Times New Roman"/>
          <w:sz w:val="24"/>
          <w:szCs w:val="24"/>
        </w:rPr>
        <w:t xml:space="preserve">, R., </w:t>
      </w:r>
      <w:proofErr w:type="spellStart"/>
      <w:r w:rsidRPr="00E908F1">
        <w:rPr>
          <w:rFonts w:ascii="Times New Roman" w:hAnsi="Times New Roman" w:cs="Times New Roman"/>
          <w:sz w:val="24"/>
          <w:szCs w:val="24"/>
        </w:rPr>
        <w:t>Passioura</w:t>
      </w:r>
      <w:proofErr w:type="spellEnd"/>
      <w:r w:rsidRPr="00E908F1">
        <w:rPr>
          <w:rFonts w:ascii="Times New Roman" w:hAnsi="Times New Roman" w:cs="Times New Roman"/>
          <w:sz w:val="24"/>
          <w:szCs w:val="24"/>
        </w:rPr>
        <w:t xml:space="preserve">, J. B., </w:t>
      </w:r>
      <w:proofErr w:type="spellStart"/>
      <w:r w:rsidRPr="00E908F1">
        <w:rPr>
          <w:rFonts w:ascii="Times New Roman" w:hAnsi="Times New Roman" w:cs="Times New Roman"/>
          <w:sz w:val="24"/>
          <w:szCs w:val="24"/>
        </w:rPr>
        <w:t>Colmer</w:t>
      </w:r>
      <w:proofErr w:type="spellEnd"/>
      <w:r w:rsidRPr="00E908F1">
        <w:rPr>
          <w:rFonts w:ascii="Times New Roman" w:hAnsi="Times New Roman" w:cs="Times New Roman"/>
          <w:sz w:val="24"/>
          <w:szCs w:val="24"/>
        </w:rPr>
        <w:t xml:space="preserve">, T. D., &amp; </w:t>
      </w:r>
      <w:proofErr w:type="spellStart"/>
      <w:r w:rsidRPr="00E908F1">
        <w:rPr>
          <w:rFonts w:ascii="Times New Roman" w:hAnsi="Times New Roman" w:cs="Times New Roman"/>
          <w:sz w:val="24"/>
          <w:szCs w:val="24"/>
        </w:rPr>
        <w:t>Byrt</w:t>
      </w:r>
      <w:proofErr w:type="spellEnd"/>
      <w:r w:rsidRPr="00E908F1">
        <w:rPr>
          <w:rFonts w:ascii="Times New Roman" w:hAnsi="Times New Roman" w:cs="Times New Roman"/>
          <w:sz w:val="24"/>
          <w:szCs w:val="24"/>
        </w:rPr>
        <w:t>, C. S. (2020).</w:t>
      </w:r>
      <w:proofErr w:type="gramEnd"/>
      <w:r w:rsidRPr="00E908F1">
        <w:rPr>
          <w:rFonts w:ascii="Times New Roman" w:hAnsi="Times New Roman" w:cs="Times New Roman"/>
          <w:sz w:val="24"/>
          <w:szCs w:val="24"/>
        </w:rPr>
        <w:t xml:space="preserve"> </w:t>
      </w:r>
      <w:proofErr w:type="gramStart"/>
      <w:r w:rsidRPr="00E908F1">
        <w:rPr>
          <w:rFonts w:ascii="Times New Roman" w:hAnsi="Times New Roman" w:cs="Times New Roman"/>
          <w:sz w:val="24"/>
          <w:szCs w:val="24"/>
        </w:rPr>
        <w:t>Osmotic adjustment and energy limitations to plant growth in saline soil.</w:t>
      </w:r>
      <w:proofErr w:type="gramEnd"/>
      <w:r w:rsidRPr="00E908F1">
        <w:rPr>
          <w:rFonts w:ascii="Times New Roman" w:hAnsi="Times New Roman" w:cs="Times New Roman"/>
          <w:sz w:val="24"/>
          <w:szCs w:val="24"/>
        </w:rPr>
        <w:t> </w:t>
      </w:r>
      <w:r w:rsidRPr="00E908F1">
        <w:rPr>
          <w:rFonts w:ascii="Times New Roman" w:hAnsi="Times New Roman" w:cs="Times New Roman"/>
          <w:i/>
          <w:iCs/>
          <w:sz w:val="24"/>
          <w:szCs w:val="24"/>
        </w:rPr>
        <w:t xml:space="preserve">New </w:t>
      </w:r>
      <w:proofErr w:type="spellStart"/>
      <w:r w:rsidRPr="00E908F1">
        <w:rPr>
          <w:rFonts w:ascii="Times New Roman" w:hAnsi="Times New Roman" w:cs="Times New Roman"/>
          <w:i/>
          <w:iCs/>
          <w:sz w:val="24"/>
          <w:szCs w:val="24"/>
        </w:rPr>
        <w:t>Phytologist</w:t>
      </w:r>
      <w:proofErr w:type="spellEnd"/>
      <w:r w:rsidRPr="00E908F1">
        <w:rPr>
          <w:rFonts w:ascii="Times New Roman" w:hAnsi="Times New Roman" w:cs="Times New Roman"/>
          <w:sz w:val="24"/>
          <w:szCs w:val="24"/>
        </w:rPr>
        <w:t>, </w:t>
      </w:r>
      <w:r w:rsidRPr="00E908F1">
        <w:rPr>
          <w:rFonts w:ascii="Times New Roman" w:hAnsi="Times New Roman" w:cs="Times New Roman"/>
          <w:i/>
          <w:iCs/>
          <w:sz w:val="24"/>
          <w:szCs w:val="24"/>
        </w:rPr>
        <w:t>225</w:t>
      </w:r>
      <w:r w:rsidRPr="00E908F1">
        <w:rPr>
          <w:rFonts w:ascii="Times New Roman" w:hAnsi="Times New Roman" w:cs="Times New Roman"/>
          <w:sz w:val="24"/>
          <w:szCs w:val="24"/>
        </w:rPr>
        <w:t>(3), 1091-1096.</w:t>
      </w:r>
    </w:p>
    <w:p w:rsidR="00E908F1" w:rsidRPr="00E908F1" w:rsidRDefault="00E908F1" w:rsidP="00E908F1">
      <w:pPr>
        <w:spacing w:line="480" w:lineRule="auto"/>
        <w:ind w:left="720" w:hanging="720"/>
        <w:rPr>
          <w:rFonts w:ascii="Times New Roman" w:hAnsi="Times New Roman" w:cs="Times New Roman"/>
          <w:sz w:val="24"/>
          <w:szCs w:val="24"/>
        </w:rPr>
      </w:pPr>
      <w:proofErr w:type="gramStart"/>
      <w:r w:rsidRPr="00E908F1">
        <w:rPr>
          <w:rFonts w:ascii="Times New Roman" w:hAnsi="Times New Roman" w:cs="Times New Roman"/>
          <w:sz w:val="24"/>
          <w:szCs w:val="24"/>
        </w:rPr>
        <w:t>Story, D. A. (2020).</w:t>
      </w:r>
      <w:proofErr w:type="gramEnd"/>
      <w:r w:rsidRPr="00E908F1">
        <w:rPr>
          <w:rFonts w:ascii="Times New Roman" w:hAnsi="Times New Roman" w:cs="Times New Roman"/>
          <w:sz w:val="24"/>
          <w:szCs w:val="24"/>
        </w:rPr>
        <w:t xml:space="preserve"> Intravenous </w:t>
      </w:r>
      <w:proofErr w:type="spellStart"/>
      <w:r w:rsidRPr="00E908F1">
        <w:rPr>
          <w:rFonts w:ascii="Times New Roman" w:hAnsi="Times New Roman" w:cs="Times New Roman"/>
          <w:sz w:val="24"/>
          <w:szCs w:val="24"/>
        </w:rPr>
        <w:t>FluidsWhich</w:t>
      </w:r>
      <w:proofErr w:type="spellEnd"/>
      <w:r w:rsidRPr="00E908F1">
        <w:rPr>
          <w:rFonts w:ascii="Times New Roman" w:hAnsi="Times New Roman" w:cs="Times New Roman"/>
          <w:sz w:val="24"/>
          <w:szCs w:val="24"/>
        </w:rPr>
        <w:t xml:space="preserve"> Recipe</w:t>
      </w:r>
      <w:proofErr w:type="gramStart"/>
      <w:r w:rsidRPr="00E908F1">
        <w:rPr>
          <w:rFonts w:ascii="Times New Roman" w:hAnsi="Times New Roman" w:cs="Times New Roman"/>
          <w:sz w:val="24"/>
          <w:szCs w:val="24"/>
        </w:rPr>
        <w:t>?.</w:t>
      </w:r>
      <w:proofErr w:type="gramEnd"/>
      <w:r w:rsidRPr="00E908F1">
        <w:rPr>
          <w:rFonts w:ascii="Times New Roman" w:hAnsi="Times New Roman" w:cs="Times New Roman"/>
          <w:sz w:val="24"/>
          <w:szCs w:val="24"/>
        </w:rPr>
        <w:t> </w:t>
      </w:r>
      <w:r w:rsidRPr="00E908F1">
        <w:rPr>
          <w:rFonts w:ascii="Times New Roman" w:hAnsi="Times New Roman" w:cs="Times New Roman"/>
          <w:i/>
          <w:iCs/>
          <w:sz w:val="24"/>
          <w:szCs w:val="24"/>
        </w:rPr>
        <w:t>Anesthesiology: The Journal of the American Society of Anesthesiologists</w:t>
      </w:r>
      <w:r w:rsidRPr="00E908F1">
        <w:rPr>
          <w:rFonts w:ascii="Times New Roman" w:hAnsi="Times New Roman" w:cs="Times New Roman"/>
          <w:sz w:val="24"/>
          <w:szCs w:val="24"/>
        </w:rPr>
        <w:t>, </w:t>
      </w:r>
      <w:r w:rsidRPr="00E908F1">
        <w:rPr>
          <w:rFonts w:ascii="Times New Roman" w:hAnsi="Times New Roman" w:cs="Times New Roman"/>
          <w:i/>
          <w:iCs/>
          <w:sz w:val="24"/>
          <w:szCs w:val="24"/>
        </w:rPr>
        <w:t>132</w:t>
      </w:r>
      <w:r w:rsidRPr="00E908F1">
        <w:rPr>
          <w:rFonts w:ascii="Times New Roman" w:hAnsi="Times New Roman" w:cs="Times New Roman"/>
          <w:sz w:val="24"/>
          <w:szCs w:val="24"/>
        </w:rPr>
        <w:t>(4), 609-611.</w:t>
      </w:r>
    </w:p>
    <w:sectPr w:rsidR="00E908F1" w:rsidRPr="00E908F1" w:rsidSect="00E908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D05" w:rsidRDefault="003A4D05" w:rsidP="00E908F1">
      <w:pPr>
        <w:spacing w:after="0" w:line="240" w:lineRule="auto"/>
      </w:pPr>
      <w:r>
        <w:separator/>
      </w:r>
    </w:p>
  </w:endnote>
  <w:endnote w:type="continuationSeparator" w:id="0">
    <w:p w:rsidR="003A4D05" w:rsidRDefault="003A4D05" w:rsidP="00E90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D05" w:rsidRDefault="003A4D05" w:rsidP="00E908F1">
      <w:pPr>
        <w:spacing w:after="0" w:line="240" w:lineRule="auto"/>
      </w:pPr>
      <w:r>
        <w:separator/>
      </w:r>
    </w:p>
  </w:footnote>
  <w:footnote w:type="continuationSeparator" w:id="0">
    <w:p w:rsidR="003A4D05" w:rsidRDefault="003A4D05" w:rsidP="00E90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451401"/>
      <w:docPartObj>
        <w:docPartGallery w:val="Page Numbers (Top of Page)"/>
        <w:docPartUnique/>
      </w:docPartObj>
    </w:sdtPr>
    <w:sdtEndPr>
      <w:rPr>
        <w:noProof/>
      </w:rPr>
    </w:sdtEndPr>
    <w:sdtContent>
      <w:p w:rsidR="00E908F1" w:rsidRDefault="00E908F1">
        <w:pPr>
          <w:pStyle w:val="Header"/>
          <w:jc w:val="right"/>
        </w:pPr>
        <w:r>
          <w:fldChar w:fldCharType="begin"/>
        </w:r>
        <w:r>
          <w:instrText xml:space="preserve"> PAGE   \* MERGEFORMAT </w:instrText>
        </w:r>
        <w:r>
          <w:fldChar w:fldCharType="separate"/>
        </w:r>
        <w:r w:rsidR="00BE116D">
          <w:rPr>
            <w:noProof/>
          </w:rPr>
          <w:t>2</w:t>
        </w:r>
        <w:r>
          <w:rPr>
            <w:noProof/>
          </w:rPr>
          <w:fldChar w:fldCharType="end"/>
        </w:r>
      </w:p>
    </w:sdtContent>
  </w:sdt>
  <w:p w:rsidR="00E908F1" w:rsidRDefault="00E908F1">
    <w:pPr>
      <w:pStyle w:val="Header"/>
    </w:pPr>
    <w:r>
      <w:t>OSMOSIS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8600465"/>
      <w:docPartObj>
        <w:docPartGallery w:val="Page Numbers (Top of Page)"/>
        <w:docPartUnique/>
      </w:docPartObj>
    </w:sdtPr>
    <w:sdtEndPr>
      <w:rPr>
        <w:noProof/>
      </w:rPr>
    </w:sdtEndPr>
    <w:sdtContent>
      <w:p w:rsidR="00E908F1" w:rsidRDefault="00E908F1">
        <w:pPr>
          <w:pStyle w:val="Header"/>
          <w:jc w:val="right"/>
        </w:pPr>
        <w:r>
          <w:fldChar w:fldCharType="begin"/>
        </w:r>
        <w:r>
          <w:instrText xml:space="preserve"> PAGE   \* MERGEFORMAT </w:instrText>
        </w:r>
        <w:r>
          <w:fldChar w:fldCharType="separate"/>
        </w:r>
        <w:r w:rsidR="00BE116D">
          <w:rPr>
            <w:noProof/>
          </w:rPr>
          <w:t>1</w:t>
        </w:r>
        <w:r>
          <w:rPr>
            <w:noProof/>
          </w:rPr>
          <w:fldChar w:fldCharType="end"/>
        </w:r>
      </w:p>
    </w:sdtContent>
  </w:sdt>
  <w:p w:rsidR="00E908F1" w:rsidRDefault="00E908F1">
    <w:pPr>
      <w:pStyle w:val="Header"/>
    </w:pPr>
    <w:r>
      <w:t>Running Head: OSMOSIS QUESTIONS.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787"/>
    <w:rsid w:val="002A6787"/>
    <w:rsid w:val="002C002D"/>
    <w:rsid w:val="00346AB9"/>
    <w:rsid w:val="003A4D05"/>
    <w:rsid w:val="003B0A89"/>
    <w:rsid w:val="0044397B"/>
    <w:rsid w:val="005A46C9"/>
    <w:rsid w:val="005A64B2"/>
    <w:rsid w:val="00682911"/>
    <w:rsid w:val="00916635"/>
    <w:rsid w:val="00987A62"/>
    <w:rsid w:val="00BD21FF"/>
    <w:rsid w:val="00BE116D"/>
    <w:rsid w:val="00CB4EC3"/>
    <w:rsid w:val="00DD5464"/>
    <w:rsid w:val="00DD6FFB"/>
    <w:rsid w:val="00E908F1"/>
    <w:rsid w:val="00F51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8F1"/>
  </w:style>
  <w:style w:type="paragraph" w:styleId="Footer">
    <w:name w:val="footer"/>
    <w:basedOn w:val="Normal"/>
    <w:link w:val="FooterChar"/>
    <w:uiPriority w:val="99"/>
    <w:unhideWhenUsed/>
    <w:rsid w:val="00E90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8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8F1"/>
  </w:style>
  <w:style w:type="paragraph" w:styleId="Footer">
    <w:name w:val="footer"/>
    <w:basedOn w:val="Normal"/>
    <w:link w:val="FooterChar"/>
    <w:uiPriority w:val="99"/>
    <w:unhideWhenUsed/>
    <w:rsid w:val="00E90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Ellie kamau</cp:lastModifiedBy>
  <cp:revision>4</cp:revision>
  <dcterms:created xsi:type="dcterms:W3CDTF">2020-09-19T11:35:00Z</dcterms:created>
  <dcterms:modified xsi:type="dcterms:W3CDTF">2020-09-19T11:41:00Z</dcterms:modified>
</cp:coreProperties>
</file>