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Pr="003D4FF0" w:rsidRDefault="003B15E9" w:rsidP="00B35ED4">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Osteomyelitis</w:t>
      </w:r>
    </w:p>
    <w:p w:rsidR="00B35ED4" w:rsidRPr="003D4FF0" w:rsidRDefault="003B15E9" w:rsidP="00B35ED4">
      <w:pPr>
        <w:spacing w:after="0" w:line="480" w:lineRule="auto"/>
        <w:jc w:val="center"/>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Student Name</w:t>
      </w:r>
    </w:p>
    <w:p w:rsidR="00B35ED4" w:rsidRPr="003D4FF0" w:rsidRDefault="003B15E9" w:rsidP="00B35ED4">
      <w:pPr>
        <w:spacing w:after="0" w:line="480" w:lineRule="auto"/>
        <w:jc w:val="center"/>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Institution Affiliation</w:t>
      </w:r>
    </w:p>
    <w:p w:rsidR="00B35ED4" w:rsidRPr="003D4FF0" w:rsidRDefault="003B15E9" w:rsidP="00B35ED4">
      <w:pPr>
        <w:spacing w:after="0" w:line="480" w:lineRule="auto"/>
        <w:jc w:val="center"/>
        <w:rPr>
          <w:rFonts w:ascii="Times New Roman" w:hAnsi="Times New Roman" w:cs="Times New Roman"/>
          <w:color w:val="000000" w:themeColor="text1"/>
          <w:sz w:val="24"/>
          <w:szCs w:val="24"/>
        </w:rPr>
      </w:pPr>
      <w:r w:rsidRPr="003D4FF0">
        <w:rPr>
          <w:rFonts w:ascii="Times New Roman" w:hAnsi="Times New Roman" w:cs="Times New Roman"/>
          <w:color w:val="000000" w:themeColor="text1"/>
          <w:sz w:val="24"/>
          <w:szCs w:val="24"/>
        </w:rPr>
        <w:t>Date</w:t>
      </w:r>
    </w:p>
    <w:p w:rsidR="00B35ED4" w:rsidRDefault="00B35ED4" w:rsidP="00B35ED4">
      <w:pPr>
        <w:spacing w:after="0" w:line="480" w:lineRule="auto"/>
        <w:jc w:val="center"/>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B35ED4" w:rsidP="00B35ED4">
      <w:pPr>
        <w:spacing w:after="0" w:line="480" w:lineRule="auto"/>
        <w:rPr>
          <w:rFonts w:ascii="Times New Roman" w:hAnsi="Times New Roman" w:cs="Times New Roman"/>
          <w:b/>
          <w:bCs/>
          <w:color w:val="000000" w:themeColor="text1"/>
          <w:sz w:val="24"/>
          <w:szCs w:val="24"/>
        </w:rPr>
      </w:pPr>
    </w:p>
    <w:p w:rsidR="00B35ED4" w:rsidRDefault="003B15E9" w:rsidP="00B35ED4">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lastRenderedPageBreak/>
        <w:t>Osteomyelitis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Chief complaint</w:t>
      </w:r>
      <w:r w:rsidRPr="00B35ED4">
        <w:rPr>
          <w:rFonts w:ascii="Times New Roman" w:hAnsi="Times New Roman" w:cs="Times New Roman"/>
          <w:color w:val="000000" w:themeColor="text1"/>
          <w:sz w:val="24"/>
          <w:szCs w:val="24"/>
        </w:rPr>
        <w:t>: redness on the left foot</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HPI</w:t>
      </w:r>
      <w:r w:rsidR="00FB1C6E" w:rsidRPr="00B35ED4">
        <w:rPr>
          <w:rFonts w:ascii="Times New Roman" w:hAnsi="Times New Roman" w:cs="Times New Roman"/>
          <w:b/>
          <w:bCs/>
          <w:color w:val="000000" w:themeColor="text1"/>
          <w:sz w:val="24"/>
          <w:szCs w:val="24"/>
        </w:rPr>
        <w:t>:</w:t>
      </w:r>
      <w:r w:rsidR="00FB1C6E" w:rsidRPr="00B35ED4">
        <w:rPr>
          <w:rFonts w:ascii="Times New Roman" w:hAnsi="Times New Roman" w:cs="Times New Roman"/>
          <w:color w:val="000000" w:themeColor="text1"/>
          <w:sz w:val="24"/>
          <w:szCs w:val="24"/>
        </w:rPr>
        <w:t xml:space="preserve"> 52</w:t>
      </w:r>
      <w:r w:rsidRPr="00B35ED4">
        <w:rPr>
          <w:rFonts w:ascii="Times New Roman" w:hAnsi="Times New Roman" w:cs="Times New Roman"/>
          <w:color w:val="000000" w:themeColor="text1"/>
          <w:sz w:val="24"/>
          <w:szCs w:val="24"/>
        </w:rPr>
        <w:t xml:space="preserve">-year-old female presents self to the clinic with redness on the left leg. Pain level </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rated 4/10. Redness began two days prior and has gotten worse since. The patient has not</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done any activity to trigger the redness. The patient has a fever of 100.6 F.</w:t>
      </w:r>
    </w:p>
    <w:p w:rsidR="006F11DC" w:rsidRPr="00B35ED4" w:rsidRDefault="003B15E9" w:rsidP="00B35ED4">
      <w:pPr>
        <w:spacing w:after="0" w:line="480" w:lineRule="auto"/>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 xml:space="preserve">Past History: </w:t>
      </w:r>
      <w:r w:rsidRPr="00B35ED4">
        <w:rPr>
          <w:rFonts w:ascii="Times New Roman" w:hAnsi="Times New Roman" w:cs="Times New Roman"/>
          <w:color w:val="000000" w:themeColor="text1"/>
          <w:sz w:val="24"/>
          <w:szCs w:val="24"/>
        </w:rPr>
        <w:t>The patient had osteomyelitis in 2010</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 xml:space="preserve">Family History: </w:t>
      </w:r>
      <w:r w:rsidRPr="00B35ED4">
        <w:rPr>
          <w:rFonts w:ascii="Times New Roman" w:hAnsi="Times New Roman" w:cs="Times New Roman"/>
          <w:color w:val="000000" w:themeColor="text1"/>
          <w:sz w:val="24"/>
          <w:szCs w:val="24"/>
        </w:rPr>
        <w:t>patient reiterates the absence of chronic diseases in the family.</w:t>
      </w:r>
    </w:p>
    <w:p w:rsidR="006F11DC" w:rsidRPr="00B35ED4" w:rsidRDefault="003B15E9" w:rsidP="00B35ED4">
      <w:pPr>
        <w:spacing w:after="0" w:line="480" w:lineRule="auto"/>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Social History</w:t>
      </w:r>
      <w:r w:rsidRPr="00B35ED4">
        <w:rPr>
          <w:rFonts w:ascii="Times New Roman" w:hAnsi="Times New Roman" w:cs="Times New Roman"/>
          <w:color w:val="000000" w:themeColor="text1"/>
          <w:sz w:val="24"/>
          <w:szCs w:val="24"/>
        </w:rPr>
        <w:t>: the patient is married with two children. The patient is currently on disability</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and is not working. The patient smokes one pack of cigarettes per day and is a social</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alcohol consumer. The patient denies any use of illicit drugs.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Allergies</w:t>
      </w:r>
      <w:r w:rsidRPr="00B35ED4">
        <w:rPr>
          <w:rFonts w:ascii="Times New Roman" w:hAnsi="Times New Roman" w:cs="Times New Roman"/>
          <w:color w:val="000000" w:themeColor="text1"/>
          <w:sz w:val="24"/>
          <w:szCs w:val="24"/>
        </w:rPr>
        <w:t>: no known food or medication allergy.</w:t>
      </w:r>
    </w:p>
    <w:p w:rsidR="006F11DC" w:rsidRPr="00B35ED4" w:rsidRDefault="003B15E9" w:rsidP="00B35ED4">
      <w:pPr>
        <w:spacing w:after="0" w:line="480" w:lineRule="auto"/>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Review of Systems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Constitutional:</w:t>
      </w:r>
      <w:r w:rsidRPr="00B35ED4">
        <w:rPr>
          <w:rFonts w:ascii="Times New Roman" w:hAnsi="Times New Roman" w:cs="Times New Roman"/>
          <w:color w:val="000000" w:themeColor="text1"/>
          <w:sz w:val="24"/>
          <w:szCs w:val="24"/>
        </w:rPr>
        <w:t xml:space="preserve"> (+) chills/fever, denies malaise, denies any weight change, (-)</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appetite change</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HENT:</w:t>
      </w:r>
      <w:r w:rsidRPr="00B35ED4">
        <w:rPr>
          <w:rFonts w:ascii="Times New Roman" w:hAnsi="Times New Roman" w:cs="Times New Roman"/>
          <w:color w:val="000000" w:themeColor="text1"/>
          <w:sz w:val="24"/>
          <w:szCs w:val="24"/>
        </w:rPr>
        <w:t xml:space="preserve"> (-) sore throat, (-) ear pain, (-) rhinorrhea, (-) gingival hyperplasia, (-) sinus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pain/pressure, (-) hearing loss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Eyes: (-) eye discharge redness; (-) photophobia, (-) double vision, (-</w:t>
      </w:r>
      <w:r w:rsidR="00FB1C6E" w:rsidRPr="00B35ED4">
        <w:rPr>
          <w:rFonts w:ascii="Times New Roman" w:hAnsi="Times New Roman" w:cs="Times New Roman"/>
          <w:color w:val="000000" w:themeColor="text1"/>
          <w:sz w:val="24"/>
          <w:szCs w:val="24"/>
        </w:rPr>
        <w:t>) dry</w:t>
      </w:r>
      <w:r w:rsidRPr="00B35ED4">
        <w:rPr>
          <w:rFonts w:ascii="Times New Roman" w:hAnsi="Times New Roman" w:cs="Times New Roman"/>
          <w:color w:val="000000" w:themeColor="text1"/>
          <w:sz w:val="24"/>
          <w:szCs w:val="24"/>
        </w:rPr>
        <w:t xml:space="preserve"> eyes,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Cardiovascular:</w:t>
      </w:r>
      <w:r w:rsidRPr="00B35ED4">
        <w:rPr>
          <w:rFonts w:ascii="Times New Roman" w:hAnsi="Times New Roman" w:cs="Times New Roman"/>
          <w:color w:val="000000" w:themeColor="text1"/>
          <w:sz w:val="24"/>
          <w:szCs w:val="24"/>
        </w:rPr>
        <w:t xml:space="preserve"> (-) chest pain, (-) palpitation, (-) chest discomfort</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Respiratory:</w:t>
      </w:r>
      <w:r w:rsidRPr="00B35ED4">
        <w:rPr>
          <w:rFonts w:ascii="Times New Roman" w:hAnsi="Times New Roman" w:cs="Times New Roman"/>
          <w:color w:val="000000" w:themeColor="text1"/>
          <w:sz w:val="24"/>
          <w:szCs w:val="24"/>
        </w:rPr>
        <w:t xml:space="preserve"> (-</w:t>
      </w:r>
      <w:r w:rsidR="00FB1C6E" w:rsidRPr="00B35ED4">
        <w:rPr>
          <w:rFonts w:ascii="Times New Roman" w:hAnsi="Times New Roman" w:cs="Times New Roman"/>
          <w:color w:val="000000" w:themeColor="text1"/>
          <w:sz w:val="24"/>
          <w:szCs w:val="24"/>
        </w:rPr>
        <w:t>) cough</w:t>
      </w:r>
      <w:r w:rsidRPr="00B35ED4">
        <w:rPr>
          <w:rFonts w:ascii="Times New Roman" w:hAnsi="Times New Roman" w:cs="Times New Roman"/>
          <w:color w:val="000000" w:themeColor="text1"/>
          <w:sz w:val="24"/>
          <w:szCs w:val="24"/>
        </w:rPr>
        <w:t>, (-) shortness of breath</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Gastrointestinal:</w:t>
      </w:r>
      <w:r w:rsidRPr="00B35ED4">
        <w:rPr>
          <w:rFonts w:ascii="Times New Roman" w:hAnsi="Times New Roman" w:cs="Times New Roman"/>
          <w:color w:val="000000" w:themeColor="text1"/>
          <w:sz w:val="24"/>
          <w:szCs w:val="24"/>
        </w:rPr>
        <w:t xml:space="preserve"> (-) abdominal pain, (-) abdominal distention, (</w:t>
      </w:r>
      <w:r w:rsidR="00B35ED4" w:rsidRPr="00B35ED4">
        <w:rPr>
          <w:rFonts w:ascii="Times New Roman" w:hAnsi="Times New Roman" w:cs="Times New Roman"/>
          <w:color w:val="000000" w:themeColor="text1"/>
          <w:sz w:val="24"/>
          <w:szCs w:val="24"/>
        </w:rPr>
        <w:t>-) diarrhea</w:t>
      </w:r>
      <w:r w:rsidRPr="00B35ED4">
        <w:rPr>
          <w:rFonts w:ascii="Times New Roman" w:hAnsi="Times New Roman" w:cs="Times New Roman"/>
          <w:color w:val="000000" w:themeColor="text1"/>
          <w:sz w:val="24"/>
          <w:szCs w:val="24"/>
        </w:rPr>
        <w:t>, (-)</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nausea, (-) blood in stool, (-) vomiting, (</w:t>
      </w:r>
      <w:r w:rsidR="00B35ED4" w:rsidRPr="00B35ED4">
        <w:rPr>
          <w:rFonts w:ascii="Times New Roman" w:hAnsi="Times New Roman" w:cs="Times New Roman"/>
          <w:color w:val="000000" w:themeColor="text1"/>
          <w:sz w:val="24"/>
          <w:szCs w:val="24"/>
        </w:rPr>
        <w:t>-) constipation</w:t>
      </w:r>
      <w:r w:rsidRPr="00B35ED4">
        <w:rPr>
          <w:rFonts w:ascii="Times New Roman" w:hAnsi="Times New Roman" w:cs="Times New Roman"/>
          <w:color w:val="000000" w:themeColor="text1"/>
          <w:sz w:val="24"/>
          <w:szCs w:val="24"/>
        </w:rPr>
        <w:t>,</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Endocrine:</w:t>
      </w:r>
      <w:r w:rsidRPr="00B35ED4">
        <w:rPr>
          <w:rFonts w:ascii="Times New Roman" w:hAnsi="Times New Roman" w:cs="Times New Roman"/>
          <w:color w:val="000000" w:themeColor="text1"/>
          <w:sz w:val="24"/>
          <w:szCs w:val="24"/>
        </w:rPr>
        <w:t xml:space="preserve"> (-) polydipsia, (</w:t>
      </w:r>
      <w:r w:rsidR="00B35ED4" w:rsidRPr="00B35ED4">
        <w:rPr>
          <w:rFonts w:ascii="Times New Roman" w:hAnsi="Times New Roman" w:cs="Times New Roman"/>
          <w:color w:val="000000" w:themeColor="text1"/>
          <w:sz w:val="24"/>
          <w:szCs w:val="24"/>
        </w:rPr>
        <w:t>-) polyphagia</w:t>
      </w:r>
      <w:r w:rsidRPr="00B35ED4">
        <w:rPr>
          <w:rFonts w:ascii="Times New Roman" w:hAnsi="Times New Roman" w:cs="Times New Roman"/>
          <w:color w:val="000000" w:themeColor="text1"/>
          <w:sz w:val="24"/>
          <w:szCs w:val="24"/>
        </w:rPr>
        <w:t>, (-</w:t>
      </w:r>
      <w:r w:rsidR="00FB1C6E" w:rsidRPr="00B35ED4">
        <w:rPr>
          <w:rFonts w:ascii="Times New Roman" w:hAnsi="Times New Roman" w:cs="Times New Roman"/>
          <w:color w:val="000000" w:themeColor="text1"/>
          <w:sz w:val="24"/>
          <w:szCs w:val="24"/>
        </w:rPr>
        <w:t>) polyuria</w:t>
      </w:r>
      <w:r w:rsidRPr="00B35ED4">
        <w:rPr>
          <w:rFonts w:ascii="Times New Roman" w:hAnsi="Times New Roman" w:cs="Times New Roman"/>
          <w:color w:val="000000" w:themeColor="text1"/>
          <w:sz w:val="24"/>
          <w:szCs w:val="24"/>
        </w:rPr>
        <w:t>, (-) cold intolerance, (-) heat</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intolerance</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Genitourinary/Reproductive</w:t>
      </w:r>
      <w:r w:rsidR="00B35ED4" w:rsidRPr="00B35ED4">
        <w:rPr>
          <w:rFonts w:ascii="Times New Roman" w:hAnsi="Times New Roman" w:cs="Times New Roman"/>
          <w:color w:val="000000" w:themeColor="text1"/>
          <w:sz w:val="24"/>
          <w:szCs w:val="24"/>
        </w:rPr>
        <w:t>:</w:t>
      </w:r>
      <w:r w:rsidRPr="00B35ED4">
        <w:rPr>
          <w:rFonts w:ascii="Times New Roman" w:hAnsi="Times New Roman" w:cs="Times New Roman"/>
          <w:color w:val="000000" w:themeColor="text1"/>
          <w:sz w:val="24"/>
          <w:szCs w:val="24"/>
        </w:rPr>
        <w:t xml:space="preserve"> (</w:t>
      </w:r>
      <w:r w:rsidR="00B35ED4" w:rsidRPr="00B35ED4">
        <w:rPr>
          <w:rFonts w:ascii="Times New Roman" w:hAnsi="Times New Roman" w:cs="Times New Roman"/>
          <w:color w:val="000000" w:themeColor="text1"/>
          <w:sz w:val="24"/>
          <w:szCs w:val="24"/>
        </w:rPr>
        <w:t>-) difficulty</w:t>
      </w:r>
      <w:r w:rsidRPr="00B35ED4">
        <w:rPr>
          <w:rFonts w:ascii="Times New Roman" w:hAnsi="Times New Roman" w:cs="Times New Roman"/>
          <w:color w:val="000000" w:themeColor="text1"/>
          <w:sz w:val="24"/>
          <w:szCs w:val="24"/>
        </w:rPr>
        <w:t xml:space="preserve"> of urination, (-) dysuria, (-) flank pain, (-)</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 xml:space="preserve">Musculoskeletal: </w:t>
      </w:r>
      <w:r w:rsidRPr="00B35ED4">
        <w:rPr>
          <w:rFonts w:ascii="Times New Roman" w:hAnsi="Times New Roman" w:cs="Times New Roman"/>
          <w:color w:val="000000" w:themeColor="text1"/>
          <w:sz w:val="24"/>
          <w:szCs w:val="24"/>
        </w:rPr>
        <w:t>(-) gait difficulties, (-) weakness (+) pain in the left leg</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lastRenderedPageBreak/>
        <w:t>Skin/integumentary</w:t>
      </w:r>
      <w:r w:rsidRPr="00B35ED4">
        <w:rPr>
          <w:rFonts w:ascii="Times New Roman" w:hAnsi="Times New Roman" w:cs="Times New Roman"/>
          <w:color w:val="000000" w:themeColor="text1"/>
          <w:sz w:val="24"/>
          <w:szCs w:val="24"/>
        </w:rPr>
        <w:t>: (-) rash/ulcers, (-) discoloration, (+) swelling, (+) redness on</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left leg</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Allergy/immunological</w:t>
      </w:r>
      <w:r w:rsidR="00FB1C6E" w:rsidRPr="00B35ED4">
        <w:rPr>
          <w:rFonts w:ascii="Times New Roman" w:hAnsi="Times New Roman" w:cs="Times New Roman"/>
          <w:b/>
          <w:bCs/>
          <w:color w:val="000000" w:themeColor="text1"/>
          <w:sz w:val="24"/>
          <w:szCs w:val="24"/>
        </w:rPr>
        <w:t>:</w:t>
      </w:r>
      <w:r w:rsidR="00FB1C6E" w:rsidRPr="00B35ED4">
        <w:rPr>
          <w:rFonts w:ascii="Times New Roman" w:hAnsi="Times New Roman" w:cs="Times New Roman"/>
          <w:color w:val="000000" w:themeColor="text1"/>
          <w:sz w:val="24"/>
          <w:szCs w:val="24"/>
        </w:rPr>
        <w:t xml:space="preserve"> no</w:t>
      </w:r>
      <w:r w:rsidR="00B35ED4" w:rsidRPr="00B35ED4">
        <w:rPr>
          <w:rFonts w:ascii="Times New Roman" w:hAnsi="Times New Roman" w:cs="Times New Roman"/>
          <w:color w:val="000000" w:themeColor="text1"/>
          <w:sz w:val="24"/>
          <w:szCs w:val="24"/>
        </w:rPr>
        <w:t xml:space="preserve"> known allergy</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Neurological:</w:t>
      </w:r>
      <w:r w:rsidRPr="00B35ED4">
        <w:rPr>
          <w:rFonts w:ascii="Times New Roman" w:hAnsi="Times New Roman" w:cs="Times New Roman"/>
          <w:color w:val="000000" w:themeColor="text1"/>
          <w:sz w:val="24"/>
          <w:szCs w:val="24"/>
        </w:rPr>
        <w:t xml:space="preserve"> (</w:t>
      </w:r>
      <w:r w:rsidR="00B35ED4" w:rsidRPr="00B35ED4">
        <w:rPr>
          <w:rFonts w:ascii="Times New Roman" w:hAnsi="Times New Roman" w:cs="Times New Roman"/>
          <w:color w:val="000000" w:themeColor="text1"/>
          <w:sz w:val="24"/>
          <w:szCs w:val="24"/>
        </w:rPr>
        <w:t>-) dizziness,</w:t>
      </w:r>
      <w:r w:rsidRPr="00B35ED4">
        <w:rPr>
          <w:rFonts w:ascii="Times New Roman" w:hAnsi="Times New Roman" w:cs="Times New Roman"/>
          <w:color w:val="000000" w:themeColor="text1"/>
          <w:sz w:val="24"/>
          <w:szCs w:val="24"/>
        </w:rPr>
        <w:t xml:space="preserve"> (-) weakness, (-) headache, (-) speech difficulty, (-)</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tremors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Hematologic:</w:t>
      </w:r>
      <w:r w:rsidRPr="00B35ED4">
        <w:rPr>
          <w:rFonts w:ascii="Times New Roman" w:hAnsi="Times New Roman" w:cs="Times New Roman"/>
          <w:color w:val="000000" w:themeColor="text1"/>
          <w:sz w:val="24"/>
          <w:szCs w:val="24"/>
        </w:rPr>
        <w:t xml:space="preserve"> (-) bruising/bleeding easily</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Psychiatric:</w:t>
      </w:r>
      <w:r w:rsidRPr="00B35ED4">
        <w:rPr>
          <w:rFonts w:ascii="Times New Roman" w:hAnsi="Times New Roman" w:cs="Times New Roman"/>
          <w:color w:val="000000" w:themeColor="text1"/>
          <w:sz w:val="24"/>
          <w:szCs w:val="24"/>
        </w:rPr>
        <w:t xml:space="preserve"> (-) suicidal ideation, (-) depression, (-) agitation</w:t>
      </w:r>
    </w:p>
    <w:p w:rsidR="00B35ED4" w:rsidRPr="00B35ED4" w:rsidRDefault="003B15E9" w:rsidP="00B35ED4">
      <w:pPr>
        <w:spacing w:after="0" w:line="480" w:lineRule="auto"/>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Physical Examination</w:t>
      </w:r>
    </w:p>
    <w:p w:rsidR="006F11DC" w:rsidRPr="00B35ED4" w:rsidRDefault="003B15E9" w:rsidP="00B35ED4">
      <w:pPr>
        <w:spacing w:after="0" w:line="480" w:lineRule="auto"/>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Vital signs: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BP 125/79</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RR 18</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P</w:t>
      </w:r>
      <w:r w:rsidR="00B35ED4" w:rsidRPr="00B35ED4">
        <w:rPr>
          <w:rFonts w:ascii="Times New Roman" w:hAnsi="Times New Roman" w:cs="Times New Roman"/>
          <w:color w:val="000000" w:themeColor="text1"/>
          <w:sz w:val="24"/>
          <w:szCs w:val="24"/>
        </w:rPr>
        <w:t>R</w:t>
      </w:r>
      <w:r w:rsidRPr="00B35ED4">
        <w:rPr>
          <w:rFonts w:ascii="Times New Roman" w:hAnsi="Times New Roman" w:cs="Times New Roman"/>
          <w:color w:val="000000" w:themeColor="text1"/>
          <w:sz w:val="24"/>
          <w:szCs w:val="24"/>
        </w:rPr>
        <w:t xml:space="preserve"> 84</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T</w:t>
      </w:r>
      <w:r w:rsidR="00B35ED4" w:rsidRPr="00B35ED4">
        <w:rPr>
          <w:rFonts w:ascii="Times New Roman" w:hAnsi="Times New Roman" w:cs="Times New Roman"/>
          <w:color w:val="000000" w:themeColor="text1"/>
          <w:sz w:val="24"/>
          <w:szCs w:val="24"/>
        </w:rPr>
        <w:t>emp</w:t>
      </w:r>
      <w:r w:rsidRPr="00B35ED4">
        <w:rPr>
          <w:rFonts w:ascii="Times New Roman" w:hAnsi="Times New Roman" w:cs="Times New Roman"/>
          <w:color w:val="000000" w:themeColor="text1"/>
          <w:sz w:val="24"/>
          <w:szCs w:val="24"/>
        </w:rPr>
        <w:t xml:space="preserve"> 100.6F</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H</w:t>
      </w:r>
      <w:r w:rsidR="00B35ED4" w:rsidRPr="00B35ED4">
        <w:rPr>
          <w:rFonts w:ascii="Times New Roman" w:hAnsi="Times New Roman" w:cs="Times New Roman"/>
          <w:color w:val="000000" w:themeColor="text1"/>
          <w:sz w:val="24"/>
          <w:szCs w:val="24"/>
        </w:rPr>
        <w:t>eigh</w:t>
      </w:r>
      <w:r w:rsidRPr="00B35ED4">
        <w:rPr>
          <w:rFonts w:ascii="Times New Roman" w:hAnsi="Times New Roman" w:cs="Times New Roman"/>
          <w:color w:val="000000" w:themeColor="text1"/>
          <w:sz w:val="24"/>
          <w:szCs w:val="24"/>
        </w:rPr>
        <w:t>t 5”2</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W</w:t>
      </w:r>
      <w:r w:rsidR="00B35ED4" w:rsidRPr="00B35ED4">
        <w:rPr>
          <w:rFonts w:ascii="Times New Roman" w:hAnsi="Times New Roman" w:cs="Times New Roman"/>
          <w:color w:val="000000" w:themeColor="text1"/>
          <w:sz w:val="24"/>
          <w:szCs w:val="24"/>
        </w:rPr>
        <w:t>eigh</w:t>
      </w:r>
      <w:r w:rsidRPr="00B35ED4">
        <w:rPr>
          <w:rFonts w:ascii="Times New Roman" w:hAnsi="Times New Roman" w:cs="Times New Roman"/>
          <w:color w:val="000000" w:themeColor="text1"/>
          <w:sz w:val="24"/>
          <w:szCs w:val="24"/>
        </w:rPr>
        <w:t>t 135 lbs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Constitutional/General</w:t>
      </w:r>
      <w:r w:rsidRPr="00B35ED4">
        <w:rPr>
          <w:rFonts w:ascii="Times New Roman" w:hAnsi="Times New Roman" w:cs="Times New Roman"/>
          <w:color w:val="000000" w:themeColor="text1"/>
          <w:sz w:val="24"/>
          <w:szCs w:val="24"/>
        </w:rPr>
        <w:t>: well-developed; well-nourished</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HEENT:</w:t>
      </w:r>
      <w:r w:rsidRPr="00B35ED4">
        <w:rPr>
          <w:rFonts w:ascii="Times New Roman" w:hAnsi="Times New Roman" w:cs="Times New Roman"/>
          <w:color w:val="000000" w:themeColor="text1"/>
          <w:sz w:val="24"/>
          <w:szCs w:val="24"/>
        </w:rPr>
        <w:t xml:space="preserve"> Normocephalic, normal conjunctivae, PERRLA, anicteric sclera; external ear</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canal no redness, no swelling, tympanic membrane intact no bulging pearl-gray</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color; the nasal cavity is pink and smooth, no septal deviation; sinuses are non-tender,</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lips are intact; the tongue is pink and symmetrical, no lesions in the mouth</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cardiovascular</w:t>
      </w:r>
      <w:r w:rsidRPr="00B35ED4">
        <w:rPr>
          <w:rFonts w:ascii="Times New Roman" w:hAnsi="Times New Roman" w:cs="Times New Roman"/>
          <w:color w:val="000000" w:themeColor="text1"/>
          <w:sz w:val="24"/>
          <w:szCs w:val="24"/>
        </w:rPr>
        <w:t>: regular rate and rhythm, S1 and S2 noted without murmurs, thrills,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rubs, intact distal pulses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Respiratory:</w:t>
      </w:r>
      <w:r w:rsidRPr="00B35ED4">
        <w:rPr>
          <w:rFonts w:ascii="Times New Roman" w:hAnsi="Times New Roman" w:cs="Times New Roman"/>
          <w:color w:val="000000" w:themeColor="text1"/>
          <w:sz w:val="24"/>
          <w:szCs w:val="24"/>
        </w:rPr>
        <w:t xml:space="preserve"> Bilateral breath sounds clear to auscultation; respirations are non-</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labored and breath sounds are equal. no tenderness and no deformity of the chest wall</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Abdomen:</w:t>
      </w:r>
      <w:r w:rsidRPr="00B35ED4">
        <w:rPr>
          <w:rFonts w:ascii="Times New Roman" w:hAnsi="Times New Roman" w:cs="Times New Roman"/>
          <w:color w:val="000000" w:themeColor="text1"/>
          <w:sz w:val="24"/>
          <w:szCs w:val="24"/>
        </w:rPr>
        <w:t xml:space="preserve"> Soft, abdominal distention not present, normal bowel sound, no</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lastRenderedPageBreak/>
        <w:t>tenderness.</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Extremities:</w:t>
      </w:r>
      <w:r w:rsidRPr="00B35ED4">
        <w:rPr>
          <w:rFonts w:ascii="Times New Roman" w:hAnsi="Times New Roman" w:cs="Times New Roman"/>
          <w:color w:val="000000" w:themeColor="text1"/>
          <w:sz w:val="24"/>
          <w:szCs w:val="24"/>
        </w:rPr>
        <w:t xml:space="preserve"> No clubbing, no cyanosis, no edema. pulses palpable and equal; ROM</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limited in the left leg, unable to apply full pressure without pain</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Neurological:</w:t>
      </w:r>
      <w:r w:rsidRPr="00B35ED4">
        <w:rPr>
          <w:rFonts w:ascii="Times New Roman" w:hAnsi="Times New Roman" w:cs="Times New Roman"/>
          <w:color w:val="000000" w:themeColor="text1"/>
          <w:sz w:val="24"/>
          <w:szCs w:val="24"/>
        </w:rPr>
        <w:t xml:space="preserve"> alert, oriented X4 </w:t>
      </w:r>
    </w:p>
    <w:p w:rsidR="006F11DC" w:rsidRPr="00B35ED4" w:rsidRDefault="003B15E9" w:rsidP="00B35ED4">
      <w:p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b/>
          <w:bCs/>
          <w:color w:val="000000" w:themeColor="text1"/>
          <w:sz w:val="24"/>
          <w:szCs w:val="24"/>
        </w:rPr>
        <w:t>Skin:</w:t>
      </w:r>
      <w:r w:rsidRPr="00B35ED4">
        <w:rPr>
          <w:rFonts w:ascii="Times New Roman" w:hAnsi="Times New Roman" w:cs="Times New Roman"/>
          <w:color w:val="000000" w:themeColor="text1"/>
          <w:sz w:val="24"/>
          <w:szCs w:val="24"/>
        </w:rPr>
        <w:t xml:space="preserve"> warm and dry, no bruising, no lesions noted, left leg warm to touch and red.</w:t>
      </w:r>
    </w:p>
    <w:p w:rsidR="003560B9" w:rsidRPr="00B35ED4" w:rsidRDefault="003B15E9" w:rsidP="00B35ED4">
      <w:pPr>
        <w:spacing w:after="0" w:line="480" w:lineRule="auto"/>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Assessment</w:t>
      </w:r>
    </w:p>
    <w:p w:rsidR="003560B9" w:rsidRPr="00B35ED4" w:rsidRDefault="003B15E9" w:rsidP="00B35ED4">
      <w:pPr>
        <w:spacing w:after="0" w:line="480" w:lineRule="auto"/>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Primary Diagnosis: Osteomyelitis</w:t>
      </w:r>
    </w:p>
    <w:p w:rsidR="003560B9" w:rsidRPr="00B35ED4" w:rsidRDefault="003B15E9" w:rsidP="000D2F77">
      <w:pPr>
        <w:spacing w:after="0" w:line="480" w:lineRule="auto"/>
        <w:ind w:firstLine="851"/>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Osteomyelitis is a condition that causes inflammation of the bone marrow or the bone. The disease occurs due to fungal or bacterial infection in the bone tissue, which originates from the bloodstream after surgery or injury. 80% of the infection occurs due to the presence of an open wound. The infection affects the long bones such as arms, legs, pelvis, and spine. Through treatment, the presence of aggressive management has been linked to positive outcomes and prevention of the spread of the infection.</w:t>
      </w:r>
      <w:r w:rsidR="000821B9" w:rsidRPr="00B35ED4">
        <w:rPr>
          <w:rFonts w:ascii="Times New Roman" w:hAnsi="Times New Roman" w:cs="Times New Roman"/>
          <w:color w:val="000000" w:themeColor="text1"/>
          <w:sz w:val="24"/>
          <w:szCs w:val="24"/>
        </w:rPr>
        <w:t xml:space="preserve"> In the USA, 2 out of 10,000 people are affected by the disease</w:t>
      </w:r>
      <w:r w:rsidR="00B81502" w:rsidRPr="00B35ED4">
        <w:rPr>
          <w:rFonts w:ascii="Times New Roman" w:hAnsi="Times New Roman" w:cs="Times New Roman"/>
          <w:color w:val="000000" w:themeColor="text1"/>
          <w:sz w:val="24"/>
          <w:szCs w:val="24"/>
        </w:rPr>
        <w:t xml:space="preserve"> (Schmitt, </w:t>
      </w:r>
      <w:r w:rsidR="00D03F11" w:rsidRPr="00B35ED4">
        <w:rPr>
          <w:rFonts w:ascii="Times New Roman" w:hAnsi="Times New Roman" w:cs="Times New Roman"/>
          <w:color w:val="000000" w:themeColor="text1"/>
          <w:sz w:val="24"/>
          <w:szCs w:val="24"/>
        </w:rPr>
        <w:t>2017)</w:t>
      </w:r>
      <w:r w:rsidR="000821B9" w:rsidRPr="00B35ED4">
        <w:rPr>
          <w:rFonts w:ascii="Times New Roman" w:hAnsi="Times New Roman" w:cs="Times New Roman"/>
          <w:color w:val="000000" w:themeColor="text1"/>
          <w:sz w:val="24"/>
          <w:szCs w:val="24"/>
        </w:rPr>
        <w:t xml:space="preserve">. </w:t>
      </w:r>
      <w:r w:rsidR="00751816" w:rsidRPr="00B35ED4">
        <w:rPr>
          <w:rFonts w:ascii="Times New Roman" w:hAnsi="Times New Roman" w:cs="Times New Roman"/>
          <w:color w:val="000000" w:themeColor="text1"/>
          <w:sz w:val="24"/>
          <w:szCs w:val="24"/>
        </w:rPr>
        <w:t>This disease affects people of all ages and affects any bone in the body. In diabetes, the disease is common due to poor blood flow linked to infections of the foot. In children, the disease the long bones of the arms and feet are mostly affected, while in adults, the disease affects the vertebrae of the spine's hips. However, the extremities are mostly affected due to surgeries, trauma, and wounds. The trend of the disease in the present era suggests that there has been an increase in the cases in the past few decades. This trend's influence is suggested to be the presence of effective diagnosis and an increase in the risk factors of the disease such as diabetes. Patients with this condition present with a wide range of symptoms such as open wounds, which exposes fractured bones, tenderness, swelling warmth on the lower extremities, and pain. It is significant to establish effective diagnosis and treatment for this condition as it can lead to bone expulsion if it complicates a chronic state.</w:t>
      </w:r>
    </w:p>
    <w:p w:rsidR="00751816" w:rsidRPr="00B35ED4" w:rsidRDefault="003B15E9" w:rsidP="000D2F77">
      <w:pPr>
        <w:spacing w:after="0" w:line="480" w:lineRule="auto"/>
        <w:ind w:firstLine="851"/>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lastRenderedPageBreak/>
        <w:t>Pathophysiology</w:t>
      </w:r>
    </w:p>
    <w:p w:rsidR="00751816" w:rsidRPr="00B35ED4" w:rsidRDefault="003B15E9" w:rsidP="000D2F77">
      <w:pPr>
        <w:spacing w:after="0" w:line="480" w:lineRule="auto"/>
        <w:ind w:firstLine="851"/>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Osteomyelitis is a condition caused by the spread of infection from a joint or a tissue that is infected, blood-borne organisms (hematogenous osteomyelitis), or the presence of an open wound (from bone surgery or infected open fracture. The presence of a foreign body, ischemia, and trauma predispose individuals to the disease. More so, the condition can originate from deep pressure ulcers. 80% of osteomyelitis cases originate from open wounds, which are often polymicrobial</w:t>
      </w:r>
      <w:r w:rsidR="0050031B" w:rsidRPr="00B35ED4">
        <w:rPr>
          <w:rFonts w:ascii="Times New Roman" w:hAnsi="Times New Roman" w:cs="Times New Roman"/>
          <w:color w:val="000000" w:themeColor="text1"/>
          <w:sz w:val="24"/>
          <w:szCs w:val="24"/>
        </w:rPr>
        <w:t xml:space="preserve"> (Birt et al., 2017)</w:t>
      </w:r>
      <w:r w:rsidRPr="00B35ED4">
        <w:rPr>
          <w:rFonts w:ascii="Times New Roman" w:hAnsi="Times New Roman" w:cs="Times New Roman"/>
          <w:color w:val="000000" w:themeColor="text1"/>
          <w:sz w:val="24"/>
          <w:szCs w:val="24"/>
        </w:rPr>
        <w:t>. Staphylococcus aureus, which includes both methicillin-resistance and methicillin-sensitive resistance strains, is present in more than half of the disease cases. Other common bacteria include anaerobic, gram-negative enteric, and streptococci organisms. Osteomyelitis, which originates from the contagious spread, affects the feet (in peripheral vascular disease and diabetes)</w:t>
      </w:r>
      <w:r w:rsidR="008F3D49" w:rsidRPr="00B35ED4">
        <w:rPr>
          <w:rFonts w:ascii="Times New Roman" w:hAnsi="Times New Roman" w:cs="Times New Roman"/>
          <w:color w:val="000000" w:themeColor="text1"/>
          <w:sz w:val="24"/>
          <w:szCs w:val="24"/>
        </w:rPr>
        <w:t xml:space="preserve">, at the site of bone penetration in injuries or surgical procedures, sites of radiation, and pressure ulcers sacrum and the hips. Also, an infection of the tooth, gum, or sinus may lead to a </w:t>
      </w:r>
      <w:r w:rsidR="00F6671A" w:rsidRPr="00B35ED4">
        <w:rPr>
          <w:rFonts w:ascii="Times New Roman" w:hAnsi="Times New Roman" w:cs="Times New Roman"/>
          <w:color w:val="000000" w:themeColor="text1"/>
          <w:sz w:val="24"/>
          <w:szCs w:val="24"/>
        </w:rPr>
        <w:t>spread</w:t>
      </w:r>
      <w:r w:rsidR="008F3D49" w:rsidRPr="00B35ED4">
        <w:rPr>
          <w:rFonts w:ascii="Times New Roman" w:hAnsi="Times New Roman" w:cs="Times New Roman"/>
          <w:color w:val="000000" w:themeColor="text1"/>
          <w:sz w:val="24"/>
          <w:szCs w:val="24"/>
        </w:rPr>
        <w:t xml:space="preserve"> in the skull. </w:t>
      </w:r>
      <w:r w:rsidR="00F6671A" w:rsidRPr="00B35ED4">
        <w:rPr>
          <w:rFonts w:ascii="Times New Roman" w:hAnsi="Times New Roman" w:cs="Times New Roman"/>
          <w:color w:val="000000" w:themeColor="text1"/>
          <w:sz w:val="24"/>
          <w:szCs w:val="24"/>
        </w:rPr>
        <w:t xml:space="preserve">The hematogenous spread of the disease occurs from a single organism. In children, </w:t>
      </w:r>
      <w:r w:rsidR="00FB1C6E" w:rsidRPr="00B35ED4">
        <w:rPr>
          <w:rFonts w:ascii="Times New Roman" w:hAnsi="Times New Roman" w:cs="Times New Roman"/>
          <w:color w:val="000000" w:themeColor="text1"/>
          <w:sz w:val="24"/>
          <w:szCs w:val="24"/>
        </w:rPr>
        <w:t>gram-positive bacteria are common and usually affect</w:t>
      </w:r>
      <w:r w:rsidR="00F6671A" w:rsidRPr="00B35ED4">
        <w:rPr>
          <w:rFonts w:ascii="Times New Roman" w:hAnsi="Times New Roman" w:cs="Times New Roman"/>
          <w:color w:val="000000" w:themeColor="text1"/>
          <w:sz w:val="24"/>
          <w:szCs w:val="24"/>
        </w:rPr>
        <w:t xml:space="preserve"> the metaphysis of the humerus and the tibia. In adults, the spread of the disease affects the vertebrae. The risk factors linked to the condition include the injection of drugs, sickle cell, hemodialysis, debilitation, and old age. The causative agents are different for different risk factors. In older individuals, hemodialysis and debilitation, enteric gram-negative agents, staphylococcus aureus, and methicillin resistance are common. In injection drug use, Serratia, Pseudomonas aeruginosa, and staphylococcus aureus are the causative agents. Salmonella species are common among people who are </w:t>
      </w:r>
      <w:r w:rsidR="00573134" w:rsidRPr="00B35ED4">
        <w:rPr>
          <w:rFonts w:ascii="Times New Roman" w:hAnsi="Times New Roman" w:cs="Times New Roman"/>
          <w:color w:val="000000" w:themeColor="text1"/>
          <w:sz w:val="24"/>
          <w:szCs w:val="24"/>
        </w:rPr>
        <w:t xml:space="preserve">immunocompromised, have liver or sickle cell diseases. </w:t>
      </w:r>
      <w:r w:rsidR="00AE5DA0" w:rsidRPr="00B35ED4">
        <w:rPr>
          <w:rFonts w:ascii="Times New Roman" w:hAnsi="Times New Roman" w:cs="Times New Roman"/>
          <w:color w:val="000000" w:themeColor="text1"/>
          <w:sz w:val="24"/>
          <w:szCs w:val="24"/>
        </w:rPr>
        <w:t xml:space="preserve">Mycobacteria and fungi can lead to hematogenous infections in immunocompromised patients or individuals in areas with endemic infections linked to coccidioidomycosis, </w:t>
      </w:r>
      <w:r w:rsidR="00FB1C6E" w:rsidRPr="00B35ED4">
        <w:rPr>
          <w:rFonts w:ascii="Times New Roman" w:hAnsi="Times New Roman" w:cs="Times New Roman"/>
          <w:color w:val="000000" w:themeColor="text1"/>
          <w:sz w:val="24"/>
          <w:szCs w:val="24"/>
        </w:rPr>
        <w:t>blast mycosis</w:t>
      </w:r>
      <w:r w:rsidR="00AE5DA0" w:rsidRPr="00B35ED4">
        <w:rPr>
          <w:rFonts w:ascii="Times New Roman" w:hAnsi="Times New Roman" w:cs="Times New Roman"/>
          <w:color w:val="000000" w:themeColor="text1"/>
          <w:sz w:val="24"/>
          <w:szCs w:val="24"/>
        </w:rPr>
        <w:t xml:space="preserve">, and histoplasmosis. </w:t>
      </w:r>
      <w:r w:rsidR="009E68BE" w:rsidRPr="00B35ED4">
        <w:rPr>
          <w:rFonts w:ascii="Times New Roman" w:hAnsi="Times New Roman" w:cs="Times New Roman"/>
          <w:color w:val="000000" w:themeColor="text1"/>
          <w:sz w:val="24"/>
          <w:szCs w:val="24"/>
        </w:rPr>
        <w:t xml:space="preserve">The presence of </w:t>
      </w:r>
      <w:r w:rsidR="0050031B" w:rsidRPr="00B35ED4">
        <w:rPr>
          <w:rFonts w:ascii="Times New Roman" w:hAnsi="Times New Roman" w:cs="Times New Roman"/>
          <w:color w:val="000000" w:themeColor="text1"/>
          <w:sz w:val="24"/>
          <w:szCs w:val="24"/>
        </w:rPr>
        <w:t xml:space="preserve">periprosthetic infection (PJI) of the joint can occur at different times for </w:t>
      </w:r>
      <w:r w:rsidR="0050031B" w:rsidRPr="00B35ED4">
        <w:rPr>
          <w:rFonts w:ascii="Times New Roman" w:hAnsi="Times New Roman" w:cs="Times New Roman"/>
          <w:color w:val="000000" w:themeColor="text1"/>
          <w:sz w:val="24"/>
          <w:szCs w:val="24"/>
        </w:rPr>
        <w:lastRenderedPageBreak/>
        <w:t xml:space="preserve">orthopedic implant, which is classified into early (less than three months), delayed (3 months to 2 years), and late (more than two years) (Birt et al., 2017). Direct perioperative inoculation leads to early infections, perioperative inoculations that are less virulent leads to delayed infections. In contrast, remote infections lead to the late onset of the disease, which leads to hematogenous infections. When there are poor host conditions, the disease may worsen. PJI in osteomyelitis can be diagnosed with two positive periprosthetic cultures of similar organisms, communication of sinus tract and the joint or presence of increased synovial fluid polymorphonuclear neutrophil percentage, positive culture of fluid or tissue, increased synovial fluid WBC count, and elevated serum protein. </w:t>
      </w:r>
      <w:r w:rsidR="00C12EC3" w:rsidRPr="00B35ED4">
        <w:rPr>
          <w:rFonts w:ascii="Times New Roman" w:hAnsi="Times New Roman" w:cs="Times New Roman"/>
          <w:color w:val="000000" w:themeColor="text1"/>
          <w:sz w:val="24"/>
          <w:szCs w:val="24"/>
        </w:rPr>
        <w:t>The clinical manifestations of this condition include fatigue, pain, fever, swelling, redness, and warmth in the affected area</w:t>
      </w:r>
    </w:p>
    <w:p w:rsidR="0050031B" w:rsidRPr="00B35ED4" w:rsidRDefault="003B15E9" w:rsidP="00B35ED4">
      <w:pPr>
        <w:spacing w:after="0" w:line="480" w:lineRule="auto"/>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Plan</w:t>
      </w:r>
    </w:p>
    <w:p w:rsidR="0050031B" w:rsidRPr="00B35ED4" w:rsidRDefault="003B15E9" w:rsidP="00B35ED4">
      <w:pPr>
        <w:spacing w:after="0" w:line="480" w:lineRule="auto"/>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Differential Diagnoses</w:t>
      </w:r>
    </w:p>
    <w:p w:rsidR="003560B9" w:rsidRPr="00B35ED4" w:rsidRDefault="003B15E9" w:rsidP="00B35ED4">
      <w:pPr>
        <w:pStyle w:val="ListParagraph"/>
        <w:numPr>
          <w:ilvl w:val="0"/>
          <w:numId w:val="1"/>
        </w:numPr>
        <w:spacing w:after="0" w:line="480" w:lineRule="auto"/>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Rheumatoid Arthritis</w:t>
      </w:r>
    </w:p>
    <w:p w:rsidR="00C12EC3" w:rsidRPr="00B35ED4" w:rsidRDefault="003B15E9" w:rsidP="000D2F77">
      <w:pPr>
        <w:spacing w:after="0" w:line="480" w:lineRule="auto"/>
        <w:ind w:firstLine="851"/>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This is an autoimmune disorder that affects the joints leading to inflammation. The presence of chronic inflammation leads to complete bone destruction. The disease is caused by abnormality where the immune system attacks the musculoskeletal system, primarily the joints of the hands, wrists, and knee. Symptoms associated with this condition include stiffness, swelling, deformity, fatigue, loss of weight, fever, loss of mobility, and loss of function</w:t>
      </w:r>
      <w:r w:rsidR="00D03F11" w:rsidRPr="00B35ED4">
        <w:rPr>
          <w:rFonts w:ascii="Times New Roman" w:hAnsi="Times New Roman" w:cs="Times New Roman"/>
          <w:color w:val="000000" w:themeColor="text1"/>
          <w:sz w:val="24"/>
          <w:szCs w:val="24"/>
        </w:rPr>
        <w:t xml:space="preserve"> (Guo et al., 2018)</w:t>
      </w:r>
      <w:r w:rsidRPr="00B35ED4">
        <w:rPr>
          <w:rFonts w:ascii="Times New Roman" w:hAnsi="Times New Roman" w:cs="Times New Roman"/>
          <w:color w:val="000000" w:themeColor="text1"/>
          <w:sz w:val="24"/>
          <w:szCs w:val="24"/>
        </w:rPr>
        <w:t>. The disease presents with similar characteristics evident in osteomyelitis, which can lead to confusion when diagnosing the patient. Therefore, it is significant to carry out diagnostic procedures that effectively enhance the exclusion of the condition before treatment.</w:t>
      </w:r>
    </w:p>
    <w:p w:rsidR="00C12EC3" w:rsidRPr="00B35ED4" w:rsidRDefault="003B15E9" w:rsidP="00B35ED4">
      <w:pPr>
        <w:pStyle w:val="ListParagraph"/>
        <w:numPr>
          <w:ilvl w:val="0"/>
          <w:numId w:val="1"/>
        </w:numPr>
        <w:spacing w:after="0" w:line="480" w:lineRule="auto"/>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Metastatic Bone Disease</w:t>
      </w:r>
    </w:p>
    <w:p w:rsidR="00C12EC3" w:rsidRPr="00B35ED4" w:rsidRDefault="003B15E9" w:rsidP="000D2F77">
      <w:pPr>
        <w:spacing w:after="0" w:line="480" w:lineRule="auto"/>
        <w:ind w:firstLine="851"/>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 xml:space="preserve">This condition involves the spite of the bone tissues, which can be influenced by the spread of cancer from other organs such as the prostate, breasts, or lungs. 50% of the tumors </w:t>
      </w:r>
      <w:r w:rsidRPr="00B35ED4">
        <w:rPr>
          <w:rFonts w:ascii="Times New Roman" w:hAnsi="Times New Roman" w:cs="Times New Roman"/>
          <w:color w:val="000000" w:themeColor="text1"/>
          <w:sz w:val="24"/>
          <w:szCs w:val="24"/>
        </w:rPr>
        <w:lastRenderedPageBreak/>
        <w:t xml:space="preserve">originating from other body organs affect the bones. </w:t>
      </w:r>
      <w:r w:rsidR="006B25C2" w:rsidRPr="00B35ED4">
        <w:rPr>
          <w:rFonts w:ascii="Times New Roman" w:hAnsi="Times New Roman" w:cs="Times New Roman"/>
          <w:color w:val="000000" w:themeColor="text1"/>
          <w:sz w:val="24"/>
          <w:szCs w:val="24"/>
        </w:rPr>
        <w:t xml:space="preserve">After the liver and the lungs, the skeleton is another common cancer site spread in the body. Metastatic bone disease affects the legs, arms, skull, ribs, pelvis, and spine. </w:t>
      </w:r>
      <w:r w:rsidRPr="00B35ED4">
        <w:rPr>
          <w:rFonts w:ascii="Times New Roman" w:hAnsi="Times New Roman" w:cs="Times New Roman"/>
          <w:color w:val="000000" w:themeColor="text1"/>
          <w:sz w:val="24"/>
          <w:szCs w:val="24"/>
        </w:rPr>
        <w:t xml:space="preserve">The presence of metastatic bone disease leads to pain, weakness, </w:t>
      </w:r>
      <w:r w:rsidR="006B25C2" w:rsidRPr="00B35ED4">
        <w:rPr>
          <w:rFonts w:ascii="Times New Roman" w:hAnsi="Times New Roman" w:cs="Times New Roman"/>
          <w:color w:val="000000" w:themeColor="text1"/>
          <w:sz w:val="24"/>
          <w:szCs w:val="24"/>
        </w:rPr>
        <w:t>injury, which puts patients at great risk of bone fractures</w:t>
      </w:r>
      <w:r w:rsidR="00D03F11" w:rsidRPr="00B35ED4">
        <w:rPr>
          <w:rFonts w:ascii="Times New Roman" w:hAnsi="Times New Roman" w:cs="Times New Roman"/>
          <w:color w:val="000000" w:themeColor="text1"/>
          <w:sz w:val="24"/>
          <w:szCs w:val="24"/>
        </w:rPr>
        <w:t xml:space="preserve"> (D’Oronzo et al., 2019)</w:t>
      </w:r>
      <w:r w:rsidR="006B25C2" w:rsidRPr="00B35ED4">
        <w:rPr>
          <w:rFonts w:ascii="Times New Roman" w:hAnsi="Times New Roman" w:cs="Times New Roman"/>
          <w:color w:val="000000" w:themeColor="text1"/>
          <w:sz w:val="24"/>
          <w:szCs w:val="24"/>
        </w:rPr>
        <w:t>. When the disease destroys the bone, it is termed to be osteolytic bone destruction.  Osteolytic bone destruction occurs when the spread is from the colon, kidneys, thyroid, and lungs. The disease causes symptoms such as anemia, fractures, and pain, confused with osteomyelitis.</w:t>
      </w:r>
    </w:p>
    <w:p w:rsidR="006B25C2" w:rsidRPr="00B35ED4" w:rsidRDefault="003B15E9" w:rsidP="00B35ED4">
      <w:pPr>
        <w:pStyle w:val="ListParagraph"/>
        <w:numPr>
          <w:ilvl w:val="0"/>
          <w:numId w:val="1"/>
        </w:numPr>
        <w:spacing w:after="0" w:line="480" w:lineRule="auto"/>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Gout</w:t>
      </w:r>
    </w:p>
    <w:p w:rsidR="006B25C2" w:rsidRPr="00B35ED4" w:rsidRDefault="003B15E9" w:rsidP="000D2F77">
      <w:pPr>
        <w:spacing w:after="0" w:line="480" w:lineRule="auto"/>
        <w:ind w:firstLine="851"/>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This disease is classified under arthritis caused by an excess amount of uric acid in the blood. The symptoms that arise from this condition are linked to crystals' formation in the joints while the immune system reacts to them. The condition affects the joint of the big toe in most cases. The disease leads to tenderness, redness, swelling, and severe pain in the joints</w:t>
      </w:r>
      <w:r w:rsidR="00D03F11" w:rsidRPr="00B35ED4">
        <w:rPr>
          <w:rFonts w:ascii="Times New Roman" w:hAnsi="Times New Roman" w:cs="Times New Roman"/>
          <w:color w:val="000000" w:themeColor="text1"/>
          <w:sz w:val="24"/>
          <w:szCs w:val="24"/>
        </w:rPr>
        <w:t xml:space="preserve"> (Ragab, Elshahaly &amp; Bardin, 2017)</w:t>
      </w:r>
      <w:r w:rsidRPr="00B35ED4">
        <w:rPr>
          <w:rFonts w:ascii="Times New Roman" w:hAnsi="Times New Roman" w:cs="Times New Roman"/>
          <w:color w:val="000000" w:themeColor="text1"/>
          <w:sz w:val="24"/>
          <w:szCs w:val="24"/>
        </w:rPr>
        <w:t>. The condition should be ruled out in the patient to ensure that the actual diagnosis's effective treatment is done.</w:t>
      </w:r>
    </w:p>
    <w:p w:rsidR="006B25C2" w:rsidRPr="00B35ED4" w:rsidRDefault="003B15E9" w:rsidP="00B35ED4">
      <w:pPr>
        <w:spacing w:after="0" w:line="480" w:lineRule="auto"/>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Diagnostic Tests</w:t>
      </w:r>
    </w:p>
    <w:p w:rsidR="006B25C2" w:rsidRPr="00B35ED4" w:rsidRDefault="003B15E9" w:rsidP="00B35ED4">
      <w:pPr>
        <w:pStyle w:val="ListParagraph"/>
        <w:numPr>
          <w:ilvl w:val="0"/>
          <w:numId w:val="2"/>
        </w:num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Radiography (x-ray)- this imaging test is used to establish abnormalities of the bones. This involves the focal decrease in the bones' density, which suggests bacteria infections that cause the damage of the bones</w:t>
      </w:r>
      <w:r w:rsidR="00D03F11" w:rsidRPr="00B35ED4">
        <w:rPr>
          <w:rFonts w:ascii="Times New Roman" w:hAnsi="Times New Roman" w:cs="Times New Roman"/>
          <w:color w:val="000000" w:themeColor="text1"/>
          <w:sz w:val="24"/>
          <w:szCs w:val="24"/>
        </w:rPr>
        <w:t xml:space="preserve"> (Birt et al., 2017)</w:t>
      </w:r>
      <w:r w:rsidRPr="00B35ED4">
        <w:rPr>
          <w:rFonts w:ascii="Times New Roman" w:hAnsi="Times New Roman" w:cs="Times New Roman"/>
          <w:color w:val="000000" w:themeColor="text1"/>
          <w:sz w:val="24"/>
          <w:szCs w:val="24"/>
        </w:rPr>
        <w:t>. The images provide the area of the bone entrapped by the infection.</w:t>
      </w:r>
    </w:p>
    <w:p w:rsidR="00C33C63" w:rsidRPr="00B35ED4" w:rsidRDefault="003B15E9" w:rsidP="00B35ED4">
      <w:pPr>
        <w:pStyle w:val="ListParagraph"/>
        <w:numPr>
          <w:ilvl w:val="0"/>
          <w:numId w:val="2"/>
        </w:num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MRI (magnetic resonance imaging)- this test shows the presence of fluid in the bone, which has greater precision and sensitivity. It is an effective strategy to show the extent of infection.</w:t>
      </w:r>
    </w:p>
    <w:p w:rsidR="00C33C63" w:rsidRPr="00B35ED4" w:rsidRDefault="003B15E9" w:rsidP="00B35ED4">
      <w:pPr>
        <w:pStyle w:val="ListParagraph"/>
        <w:numPr>
          <w:ilvl w:val="0"/>
          <w:numId w:val="2"/>
        </w:num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lastRenderedPageBreak/>
        <w:t>Blood tests- evaluation of infection is done through blood tests. The complete blood count is used to reveal increased white blood cells, erythrocyte sedimentation rate, and c-reactive protein in the blood to evaluate inflammation in the body.</w:t>
      </w:r>
    </w:p>
    <w:p w:rsidR="00C33C63" w:rsidRPr="00B35ED4" w:rsidRDefault="003B15E9" w:rsidP="00B35ED4">
      <w:pPr>
        <w:pStyle w:val="ListParagraph"/>
        <w:numPr>
          <w:ilvl w:val="0"/>
          <w:numId w:val="2"/>
        </w:num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Blood culture- blood culture shows bacteria that have spread to the bones to cause infections</w:t>
      </w:r>
      <w:r w:rsidR="00D03F11" w:rsidRPr="00B35ED4">
        <w:rPr>
          <w:rFonts w:ascii="Times New Roman" w:hAnsi="Times New Roman" w:cs="Times New Roman"/>
          <w:color w:val="000000" w:themeColor="text1"/>
          <w:sz w:val="24"/>
          <w:szCs w:val="24"/>
        </w:rPr>
        <w:t xml:space="preserve"> (Birt et al., 2017)</w:t>
      </w:r>
      <w:r w:rsidRPr="00B35ED4">
        <w:rPr>
          <w:rFonts w:ascii="Times New Roman" w:hAnsi="Times New Roman" w:cs="Times New Roman"/>
          <w:color w:val="000000" w:themeColor="text1"/>
          <w:sz w:val="24"/>
          <w:szCs w:val="24"/>
        </w:rPr>
        <w:t>. This test allows the infection to be tested against an infective antibiotic to treat the infection.</w:t>
      </w:r>
    </w:p>
    <w:p w:rsidR="00C33C63" w:rsidRPr="00B35ED4" w:rsidRDefault="003B15E9" w:rsidP="00B35ED4">
      <w:pPr>
        <w:pStyle w:val="ListParagraph"/>
        <w:numPr>
          <w:ilvl w:val="0"/>
          <w:numId w:val="2"/>
        </w:num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 xml:space="preserve">Needle aspiration- in this test, a sample of cells and fluid is retrieved from the joints or the bony area and tested in the lab for the presence of infections. </w:t>
      </w:r>
    </w:p>
    <w:p w:rsidR="00C33C63" w:rsidRPr="00B35ED4" w:rsidRDefault="003B15E9" w:rsidP="00B35ED4">
      <w:pPr>
        <w:pStyle w:val="ListParagraph"/>
        <w:numPr>
          <w:ilvl w:val="0"/>
          <w:numId w:val="2"/>
        </w:num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Biopsy- a sample tissue of the bone is taken to the laboratory to evaluate the presence of infection.</w:t>
      </w:r>
    </w:p>
    <w:p w:rsidR="00C33C63" w:rsidRPr="00B35ED4" w:rsidRDefault="003B15E9" w:rsidP="00B35ED4">
      <w:pPr>
        <w:pStyle w:val="ListParagraph"/>
        <w:numPr>
          <w:ilvl w:val="0"/>
          <w:numId w:val="2"/>
        </w:numPr>
        <w:spacing w:after="0" w:line="480" w:lineRule="auto"/>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Bone Scan- technetium-99 pyrophosphate, a radioactive substance, is injected into the body to evaluate its spread. In healthy bones, the substance spreads uniformly</w:t>
      </w:r>
      <w:r w:rsidR="00D03F11" w:rsidRPr="00B35ED4">
        <w:rPr>
          <w:rFonts w:ascii="Times New Roman" w:hAnsi="Times New Roman" w:cs="Times New Roman"/>
          <w:color w:val="000000" w:themeColor="text1"/>
          <w:sz w:val="24"/>
          <w:szCs w:val="24"/>
        </w:rPr>
        <w:t xml:space="preserve"> (Birt et al., 2017)</w:t>
      </w:r>
      <w:r w:rsidRPr="00B35ED4">
        <w:rPr>
          <w:rFonts w:ascii="Times New Roman" w:hAnsi="Times New Roman" w:cs="Times New Roman"/>
          <w:color w:val="000000" w:themeColor="text1"/>
          <w:sz w:val="24"/>
          <w:szCs w:val="24"/>
        </w:rPr>
        <w:t xml:space="preserve">. </w:t>
      </w:r>
      <w:r w:rsidR="00AA7EED" w:rsidRPr="00B35ED4">
        <w:rPr>
          <w:rFonts w:ascii="Times New Roman" w:hAnsi="Times New Roman" w:cs="Times New Roman"/>
          <w:color w:val="000000" w:themeColor="text1"/>
          <w:sz w:val="24"/>
          <w:szCs w:val="24"/>
        </w:rPr>
        <w:t xml:space="preserve">However, in infection or tumor, the bone absorbs the substance, </w:t>
      </w:r>
      <w:r w:rsidR="00155E19" w:rsidRPr="00B35ED4">
        <w:rPr>
          <w:rFonts w:ascii="Times New Roman" w:hAnsi="Times New Roman" w:cs="Times New Roman"/>
          <w:color w:val="000000" w:themeColor="text1"/>
          <w:sz w:val="24"/>
          <w:szCs w:val="24"/>
        </w:rPr>
        <w:t>which will show an increased concentration of the radioactive substance. A bone scan helps in the detection of the disease in the early stages.</w:t>
      </w:r>
    </w:p>
    <w:p w:rsidR="00745EB7" w:rsidRPr="00B35ED4" w:rsidRDefault="003B15E9" w:rsidP="00B35ED4">
      <w:pPr>
        <w:spacing w:after="0" w:line="480" w:lineRule="auto"/>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Medical Management</w:t>
      </w:r>
    </w:p>
    <w:p w:rsidR="00745EB7" w:rsidRPr="00B35ED4" w:rsidRDefault="003B15E9" w:rsidP="000D2F77">
      <w:pPr>
        <w:spacing w:after="0" w:line="480" w:lineRule="auto"/>
        <w:ind w:firstLine="851"/>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The main treatment modality for this condition is the use of antibiotics. Antibiotics will ensure that the spread of infection in the bony structures is prevented. The main antibiotic used in the treatment of the patient is amoxicillin 1 gram per oral per day. This drug belongs to the beta-lactam antibiotics group. The drug acts by binding to the penicillin-binding proteins, which inhibits transpeptidation (cell wall synthesis), leading to autolytic enzymes' activation. The nursing considerations include culturing the infection area before commencing treatment, providing oral medications only because the drug is not affected by foods, and enhancing therapy for at least two days; when infection disappears, the drug should be continued for ten days</w:t>
      </w:r>
      <w:r w:rsidR="00D03F11" w:rsidRPr="00B35ED4">
        <w:rPr>
          <w:rFonts w:ascii="Times New Roman" w:hAnsi="Times New Roman" w:cs="Times New Roman"/>
          <w:color w:val="000000" w:themeColor="text1"/>
          <w:sz w:val="24"/>
          <w:szCs w:val="24"/>
        </w:rPr>
        <w:t xml:space="preserve"> (Birt et al., 2017)</w:t>
      </w:r>
      <w:r w:rsidRPr="00B35ED4">
        <w:rPr>
          <w:rFonts w:ascii="Times New Roman" w:hAnsi="Times New Roman" w:cs="Times New Roman"/>
          <w:color w:val="000000" w:themeColor="text1"/>
          <w:sz w:val="24"/>
          <w:szCs w:val="24"/>
        </w:rPr>
        <w:t xml:space="preserve">. Also, pain management is a significant </w:t>
      </w:r>
      <w:r w:rsidRPr="00B35ED4">
        <w:rPr>
          <w:rFonts w:ascii="Times New Roman" w:hAnsi="Times New Roman" w:cs="Times New Roman"/>
          <w:color w:val="000000" w:themeColor="text1"/>
          <w:sz w:val="24"/>
          <w:szCs w:val="24"/>
        </w:rPr>
        <w:lastRenderedPageBreak/>
        <w:t xml:space="preserve">modality of treatment for the patient. NSAIDs such as acetaminophen 1 gram per oral TDS should be administered. </w:t>
      </w:r>
      <w:r w:rsidR="00E05D34" w:rsidRPr="00B35ED4">
        <w:rPr>
          <w:rFonts w:ascii="Times New Roman" w:hAnsi="Times New Roman" w:cs="Times New Roman"/>
          <w:color w:val="000000" w:themeColor="text1"/>
          <w:sz w:val="24"/>
          <w:szCs w:val="24"/>
        </w:rPr>
        <w:t xml:space="preserve">Acetaminophen is an antipyretic and analgesic. The drug acts by diminishing prostaglandin production from the brain, which reduces swelling and inflammation to reduce pain. The nursing consideration of the drug includes a check for the signs of toxicity (hepatoxicity), which involves nausea, abdominal pain, or jaundice. The drug should not exceed a dosage of 4 g in a day to prevent cardiac, renal, and liver damage. When an overdose occurs, the patient should be given acetadote, which is the medication's antidote.  Blood glucose levels should be monitored consistently as the drug causes blood glucose alterations. </w:t>
      </w:r>
      <w:r w:rsidR="001F406B" w:rsidRPr="00B35ED4">
        <w:rPr>
          <w:rFonts w:ascii="Times New Roman" w:hAnsi="Times New Roman" w:cs="Times New Roman"/>
          <w:color w:val="000000" w:themeColor="text1"/>
          <w:sz w:val="24"/>
          <w:szCs w:val="24"/>
        </w:rPr>
        <w:t>Another treatment modality is the use of drainage. Needle aspiration can be used for both diagnostic and treatment purposes when there is an abscess or wound. The needle is inserted into the affected bony structure, and fluid is withdrawn. The drainage of fluids enhances pain relief through the reduction of pressure in the area</w:t>
      </w:r>
      <w:r w:rsidR="00D03F11" w:rsidRPr="00B35ED4">
        <w:rPr>
          <w:rFonts w:ascii="Times New Roman" w:hAnsi="Times New Roman" w:cs="Times New Roman"/>
          <w:color w:val="000000" w:themeColor="text1"/>
          <w:sz w:val="24"/>
          <w:szCs w:val="24"/>
        </w:rPr>
        <w:t xml:space="preserve"> (Game, 2010)</w:t>
      </w:r>
      <w:r w:rsidR="001F406B" w:rsidRPr="00B35ED4">
        <w:rPr>
          <w:rFonts w:ascii="Times New Roman" w:hAnsi="Times New Roman" w:cs="Times New Roman"/>
          <w:color w:val="000000" w:themeColor="text1"/>
          <w:sz w:val="24"/>
          <w:szCs w:val="24"/>
        </w:rPr>
        <w:t>. More so, the fluid is cultured to determine the infection and effective drug that can be used in the patient's treatment. Surgical procedures offer an essential management process for osteomyelitis. When the infection is well established, and the patient's hospital stay is determined to be excess with no improvement, a surgical procedure to remove the bone's infected part is performed.</w:t>
      </w:r>
    </w:p>
    <w:p w:rsidR="00D47110" w:rsidRPr="00B35ED4" w:rsidRDefault="003B15E9" w:rsidP="000D2F77">
      <w:pPr>
        <w:spacing w:after="0" w:line="480" w:lineRule="auto"/>
        <w:ind w:firstLine="851"/>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Prognosis</w:t>
      </w:r>
    </w:p>
    <w:p w:rsidR="00D47110" w:rsidRPr="00B35ED4" w:rsidRDefault="003B15E9" w:rsidP="000D2F77">
      <w:pPr>
        <w:spacing w:after="0" w:line="480" w:lineRule="auto"/>
        <w:ind w:firstLine="851"/>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Early aggressive treatment leads to a good outcome for the patient. However, there is a chance for future infection in the future years after successfully managing the disease if the patient is exposed to trauma or the immune system is compromised. In adults, the recurrence occurs at a rate of 30% within a year, but if the infection involves P. aeruginosa, it increases to 50%</w:t>
      </w:r>
      <w:r w:rsidR="00D03F11" w:rsidRPr="00B35ED4">
        <w:rPr>
          <w:rFonts w:ascii="Times New Roman" w:hAnsi="Times New Roman" w:cs="Times New Roman"/>
          <w:color w:val="000000" w:themeColor="text1"/>
          <w:sz w:val="24"/>
          <w:szCs w:val="24"/>
        </w:rPr>
        <w:t xml:space="preserve"> (Game, 2010)</w:t>
      </w:r>
      <w:r w:rsidRPr="00B35ED4">
        <w:rPr>
          <w:rFonts w:ascii="Times New Roman" w:hAnsi="Times New Roman" w:cs="Times New Roman"/>
          <w:color w:val="000000" w:themeColor="text1"/>
          <w:sz w:val="24"/>
          <w:szCs w:val="24"/>
        </w:rPr>
        <w:t>. In prosthetic devices, the cases involved are not easy to treat, which leads to an extended time of treatment.</w:t>
      </w:r>
    </w:p>
    <w:p w:rsidR="00824CF0" w:rsidRPr="00B35ED4" w:rsidRDefault="003B15E9" w:rsidP="000D2F77">
      <w:pPr>
        <w:spacing w:after="0" w:line="480" w:lineRule="auto"/>
        <w:ind w:firstLine="851"/>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Follow-up and Referrals</w:t>
      </w:r>
    </w:p>
    <w:p w:rsidR="00824CF0" w:rsidRPr="00B35ED4" w:rsidRDefault="003B15E9" w:rsidP="000D2F77">
      <w:pPr>
        <w:spacing w:after="0" w:line="480" w:lineRule="auto"/>
        <w:ind w:firstLine="851"/>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lastRenderedPageBreak/>
        <w:t>The patient should be followed up within two months after treatment. Also, PRN follow-up should be provided for the presence of any complications. The patient should be referred to an orthopedic consultant and MRI of the left leg for further assessment.</w:t>
      </w:r>
    </w:p>
    <w:p w:rsidR="00824CF0" w:rsidRPr="00B35ED4" w:rsidRDefault="003B15E9" w:rsidP="000D2F77">
      <w:pPr>
        <w:spacing w:after="0" w:line="480" w:lineRule="auto"/>
        <w:ind w:firstLine="851"/>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t>Patient Education</w:t>
      </w:r>
    </w:p>
    <w:p w:rsidR="00824CF0" w:rsidRPr="00B35ED4" w:rsidRDefault="003B15E9" w:rsidP="000D2F77">
      <w:pPr>
        <w:spacing w:after="0" w:line="480" w:lineRule="auto"/>
        <w:ind w:firstLine="851"/>
        <w:rPr>
          <w:rFonts w:ascii="Times New Roman" w:hAnsi="Times New Roman" w:cs="Times New Roman"/>
          <w:color w:val="000000" w:themeColor="text1"/>
          <w:sz w:val="24"/>
          <w:szCs w:val="24"/>
        </w:rPr>
      </w:pPr>
      <w:r w:rsidRPr="00B35ED4">
        <w:rPr>
          <w:rFonts w:ascii="Times New Roman" w:hAnsi="Times New Roman" w:cs="Times New Roman"/>
          <w:color w:val="000000" w:themeColor="text1"/>
          <w:sz w:val="24"/>
          <w:szCs w:val="24"/>
        </w:rPr>
        <w:t>The patient should be encouraged to adhere to medications and treatment to prevent complications and enhance recovery. She should be discouraged from discontinuing the medication without consulting the physician</w:t>
      </w:r>
      <w:r w:rsidR="00D03F11" w:rsidRPr="00B35ED4">
        <w:rPr>
          <w:rFonts w:ascii="Times New Roman" w:hAnsi="Times New Roman" w:cs="Times New Roman"/>
          <w:color w:val="000000" w:themeColor="text1"/>
          <w:sz w:val="24"/>
          <w:szCs w:val="24"/>
        </w:rPr>
        <w:t xml:space="preserve"> (Birt et al., 2017)</w:t>
      </w:r>
      <w:r w:rsidRPr="00B35ED4">
        <w:rPr>
          <w:rFonts w:ascii="Times New Roman" w:hAnsi="Times New Roman" w:cs="Times New Roman"/>
          <w:color w:val="000000" w:themeColor="text1"/>
          <w:sz w:val="24"/>
          <w:szCs w:val="24"/>
        </w:rPr>
        <w:t xml:space="preserve">. The patient should be encouraged to hydrate and rest to promote recovery. When complications </w:t>
      </w:r>
      <w:r w:rsidR="00D03F11" w:rsidRPr="00B35ED4">
        <w:rPr>
          <w:rFonts w:ascii="Times New Roman" w:hAnsi="Times New Roman" w:cs="Times New Roman"/>
          <w:color w:val="000000" w:themeColor="text1"/>
          <w:sz w:val="24"/>
          <w:szCs w:val="24"/>
        </w:rPr>
        <w:t>occur</w:t>
      </w:r>
      <w:r w:rsidRPr="00B35ED4">
        <w:rPr>
          <w:rFonts w:ascii="Times New Roman" w:hAnsi="Times New Roman" w:cs="Times New Roman"/>
          <w:color w:val="000000" w:themeColor="text1"/>
          <w:sz w:val="24"/>
          <w:szCs w:val="24"/>
        </w:rPr>
        <w:t>, the patient should inform the health care institutions, and in case of an emergency; she should call 911.</w:t>
      </w: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0D2F77" w:rsidRDefault="000D2F77" w:rsidP="00B35ED4">
      <w:pPr>
        <w:spacing w:after="0" w:line="480" w:lineRule="auto"/>
        <w:jc w:val="center"/>
        <w:rPr>
          <w:rFonts w:ascii="Times New Roman" w:hAnsi="Times New Roman" w:cs="Times New Roman"/>
          <w:b/>
          <w:bCs/>
          <w:color w:val="000000" w:themeColor="text1"/>
          <w:sz w:val="24"/>
          <w:szCs w:val="24"/>
        </w:rPr>
      </w:pPr>
    </w:p>
    <w:p w:rsidR="00FB1C6E" w:rsidRDefault="00FB1C6E" w:rsidP="000D2F77">
      <w:pPr>
        <w:spacing w:after="0" w:line="480" w:lineRule="auto"/>
        <w:jc w:val="center"/>
        <w:rPr>
          <w:rFonts w:ascii="Times New Roman" w:hAnsi="Times New Roman" w:cs="Times New Roman"/>
          <w:b/>
          <w:bCs/>
          <w:color w:val="000000" w:themeColor="text1"/>
          <w:sz w:val="24"/>
          <w:szCs w:val="24"/>
        </w:rPr>
      </w:pPr>
    </w:p>
    <w:p w:rsidR="00FB1C6E" w:rsidRDefault="00FB1C6E" w:rsidP="000D2F77">
      <w:pPr>
        <w:spacing w:after="0" w:line="480" w:lineRule="auto"/>
        <w:jc w:val="center"/>
        <w:rPr>
          <w:rFonts w:ascii="Times New Roman" w:hAnsi="Times New Roman" w:cs="Times New Roman"/>
          <w:b/>
          <w:bCs/>
          <w:color w:val="000000" w:themeColor="text1"/>
          <w:sz w:val="24"/>
          <w:szCs w:val="24"/>
        </w:rPr>
      </w:pPr>
    </w:p>
    <w:p w:rsidR="00FB1C6E" w:rsidRDefault="00FB1C6E" w:rsidP="000D2F77">
      <w:pPr>
        <w:spacing w:after="0" w:line="480" w:lineRule="auto"/>
        <w:jc w:val="center"/>
        <w:rPr>
          <w:rFonts w:ascii="Times New Roman" w:hAnsi="Times New Roman" w:cs="Times New Roman"/>
          <w:b/>
          <w:bCs/>
          <w:color w:val="000000" w:themeColor="text1"/>
          <w:sz w:val="24"/>
          <w:szCs w:val="24"/>
        </w:rPr>
      </w:pPr>
    </w:p>
    <w:p w:rsidR="00FB1C6E" w:rsidRDefault="00FB1C6E" w:rsidP="000D2F77">
      <w:pPr>
        <w:spacing w:after="0" w:line="480" w:lineRule="auto"/>
        <w:jc w:val="center"/>
        <w:rPr>
          <w:rFonts w:ascii="Times New Roman" w:hAnsi="Times New Roman" w:cs="Times New Roman"/>
          <w:b/>
          <w:bCs/>
          <w:color w:val="000000" w:themeColor="text1"/>
          <w:sz w:val="24"/>
          <w:szCs w:val="24"/>
        </w:rPr>
      </w:pPr>
    </w:p>
    <w:p w:rsidR="000D2F77" w:rsidRPr="000D2F77" w:rsidRDefault="003B15E9" w:rsidP="000D2F77">
      <w:pPr>
        <w:spacing w:after="0" w:line="480" w:lineRule="auto"/>
        <w:jc w:val="center"/>
        <w:rPr>
          <w:rFonts w:ascii="Times New Roman" w:hAnsi="Times New Roman" w:cs="Times New Roman"/>
          <w:b/>
          <w:bCs/>
          <w:color w:val="000000" w:themeColor="text1"/>
          <w:sz w:val="24"/>
          <w:szCs w:val="24"/>
        </w:rPr>
      </w:pPr>
      <w:r w:rsidRPr="00B35ED4">
        <w:rPr>
          <w:rFonts w:ascii="Times New Roman" w:hAnsi="Times New Roman" w:cs="Times New Roman"/>
          <w:b/>
          <w:bCs/>
          <w:color w:val="000000" w:themeColor="text1"/>
          <w:sz w:val="24"/>
          <w:szCs w:val="24"/>
        </w:rPr>
        <w:lastRenderedPageBreak/>
        <w:t>References</w:t>
      </w:r>
    </w:p>
    <w:p w:rsidR="000D2F77" w:rsidRPr="000D2F77" w:rsidRDefault="003B15E9" w:rsidP="000D2F77">
      <w:pPr>
        <w:spacing w:after="0" w:line="480" w:lineRule="auto"/>
        <w:ind w:left="851" w:hanging="851"/>
        <w:rPr>
          <w:rFonts w:ascii="Times New Roman" w:hAnsi="Times New Roman" w:cs="Times New Roman"/>
          <w:color w:val="000000" w:themeColor="text1"/>
          <w:sz w:val="24"/>
          <w:szCs w:val="24"/>
        </w:rPr>
      </w:pPr>
      <w:r w:rsidRPr="000D2F77">
        <w:rPr>
          <w:rFonts w:ascii="Times New Roman" w:hAnsi="Times New Roman" w:cs="Times New Roman"/>
          <w:color w:val="000000" w:themeColor="text1"/>
          <w:sz w:val="24"/>
          <w:szCs w:val="24"/>
          <w:shd w:val="clear" w:color="auto" w:fill="FFFFFF"/>
        </w:rPr>
        <w:t>Birt, M. C., Anderson, D. W., Bruce Toby, E., &amp; Wang, J. (2016). Osteomyelitis: Recent advances in pathophysiology and therapeutic strategies. </w:t>
      </w:r>
      <w:r w:rsidRPr="000D2F77">
        <w:rPr>
          <w:rFonts w:ascii="Times New Roman" w:hAnsi="Times New Roman" w:cs="Times New Roman"/>
          <w:i/>
          <w:iCs/>
          <w:color w:val="000000" w:themeColor="text1"/>
          <w:sz w:val="24"/>
          <w:szCs w:val="24"/>
          <w:shd w:val="clear" w:color="auto" w:fill="FFFFFF"/>
        </w:rPr>
        <w:t>Journal of orthopedics</w:t>
      </w:r>
      <w:r w:rsidRPr="000D2F77">
        <w:rPr>
          <w:rFonts w:ascii="Times New Roman" w:hAnsi="Times New Roman" w:cs="Times New Roman"/>
          <w:color w:val="000000" w:themeColor="text1"/>
          <w:sz w:val="24"/>
          <w:szCs w:val="24"/>
          <w:shd w:val="clear" w:color="auto" w:fill="FFFFFF"/>
        </w:rPr>
        <w:t>, </w:t>
      </w:r>
      <w:r w:rsidRPr="000D2F77">
        <w:rPr>
          <w:rFonts w:ascii="Times New Roman" w:hAnsi="Times New Roman" w:cs="Times New Roman"/>
          <w:i/>
          <w:iCs/>
          <w:color w:val="000000" w:themeColor="text1"/>
          <w:sz w:val="24"/>
          <w:szCs w:val="24"/>
          <w:shd w:val="clear" w:color="auto" w:fill="FFFFFF"/>
        </w:rPr>
        <w:t>14</w:t>
      </w:r>
      <w:r w:rsidRPr="000D2F77">
        <w:rPr>
          <w:rFonts w:ascii="Times New Roman" w:hAnsi="Times New Roman" w:cs="Times New Roman"/>
          <w:color w:val="000000" w:themeColor="text1"/>
          <w:sz w:val="24"/>
          <w:szCs w:val="24"/>
          <w:shd w:val="clear" w:color="auto" w:fill="FFFFFF"/>
        </w:rPr>
        <w:t>(1), 45–52. https://doi.org/10.1016/j.jor.2016.10.004</w:t>
      </w:r>
    </w:p>
    <w:p w:rsidR="000D2F77" w:rsidRPr="000D2F77" w:rsidRDefault="003B15E9" w:rsidP="000D2F77">
      <w:pPr>
        <w:spacing w:after="0" w:line="480" w:lineRule="auto"/>
        <w:ind w:left="851" w:hanging="851"/>
        <w:rPr>
          <w:rFonts w:ascii="Times New Roman" w:hAnsi="Times New Roman" w:cs="Times New Roman"/>
          <w:color w:val="000000" w:themeColor="text1"/>
          <w:sz w:val="24"/>
          <w:szCs w:val="24"/>
          <w:shd w:val="clear" w:color="auto" w:fill="FFFFFF"/>
        </w:rPr>
      </w:pPr>
      <w:r w:rsidRPr="000D2F77">
        <w:rPr>
          <w:rFonts w:ascii="Times New Roman" w:hAnsi="Times New Roman" w:cs="Times New Roman"/>
          <w:color w:val="000000" w:themeColor="text1"/>
          <w:sz w:val="24"/>
          <w:szCs w:val="24"/>
          <w:shd w:val="clear" w:color="auto" w:fill="FFFFFF"/>
        </w:rPr>
        <w:t>D'Oronzo, S., Coleman, R., Brown, J., &amp; Silvestris, F. (2018). Metastatic bone disease: Pathogenesis and therapeutic options: Up-date on bone metastasis management. </w:t>
      </w:r>
      <w:r w:rsidRPr="000D2F77">
        <w:rPr>
          <w:rFonts w:ascii="Times New Roman" w:hAnsi="Times New Roman" w:cs="Times New Roman"/>
          <w:i/>
          <w:iCs/>
          <w:color w:val="000000" w:themeColor="text1"/>
          <w:sz w:val="24"/>
          <w:szCs w:val="24"/>
          <w:shd w:val="clear" w:color="auto" w:fill="FFFFFF"/>
        </w:rPr>
        <w:t>Journal of bone oncology</w:t>
      </w:r>
      <w:r w:rsidRPr="000D2F77">
        <w:rPr>
          <w:rFonts w:ascii="Times New Roman" w:hAnsi="Times New Roman" w:cs="Times New Roman"/>
          <w:color w:val="000000" w:themeColor="text1"/>
          <w:sz w:val="24"/>
          <w:szCs w:val="24"/>
          <w:shd w:val="clear" w:color="auto" w:fill="FFFFFF"/>
        </w:rPr>
        <w:t>, </w:t>
      </w:r>
      <w:r w:rsidRPr="000D2F77">
        <w:rPr>
          <w:rFonts w:ascii="Times New Roman" w:hAnsi="Times New Roman" w:cs="Times New Roman"/>
          <w:i/>
          <w:iCs/>
          <w:color w:val="000000" w:themeColor="text1"/>
          <w:sz w:val="24"/>
          <w:szCs w:val="24"/>
          <w:shd w:val="clear" w:color="auto" w:fill="FFFFFF"/>
        </w:rPr>
        <w:t>15</w:t>
      </w:r>
      <w:r w:rsidRPr="000D2F77">
        <w:rPr>
          <w:rFonts w:ascii="Times New Roman" w:hAnsi="Times New Roman" w:cs="Times New Roman"/>
          <w:color w:val="000000" w:themeColor="text1"/>
          <w:sz w:val="24"/>
          <w:szCs w:val="24"/>
          <w:shd w:val="clear" w:color="auto" w:fill="FFFFFF"/>
        </w:rPr>
        <w:t xml:space="preserve">, 004–4. </w:t>
      </w:r>
      <w:hyperlink r:id="rId7" w:history="1">
        <w:r w:rsidRPr="000D2F77">
          <w:rPr>
            <w:rStyle w:val="Hyperlink"/>
            <w:rFonts w:ascii="Times New Roman" w:hAnsi="Times New Roman" w:cs="Times New Roman"/>
            <w:color w:val="000000" w:themeColor="text1"/>
            <w:sz w:val="24"/>
            <w:szCs w:val="24"/>
            <w:u w:val="none"/>
            <w:shd w:val="clear" w:color="auto" w:fill="FFFFFF"/>
          </w:rPr>
          <w:t>https://doi.org/10.1016/j.jbo.2018.10.004</w:t>
        </w:r>
      </w:hyperlink>
    </w:p>
    <w:p w:rsidR="000D2F77" w:rsidRPr="000D2F77" w:rsidRDefault="003B15E9" w:rsidP="000D2F77">
      <w:pPr>
        <w:spacing w:after="0" w:line="480" w:lineRule="auto"/>
        <w:ind w:left="851" w:hanging="851"/>
        <w:rPr>
          <w:rFonts w:ascii="Times New Roman" w:hAnsi="Times New Roman" w:cs="Times New Roman"/>
          <w:color w:val="000000" w:themeColor="text1"/>
          <w:sz w:val="24"/>
          <w:szCs w:val="24"/>
          <w:shd w:val="clear" w:color="auto" w:fill="FFFFFF"/>
        </w:rPr>
      </w:pPr>
      <w:r w:rsidRPr="000D2F77">
        <w:rPr>
          <w:rFonts w:ascii="Times New Roman" w:hAnsi="Times New Roman" w:cs="Times New Roman"/>
          <w:color w:val="000000" w:themeColor="text1"/>
          <w:sz w:val="24"/>
          <w:szCs w:val="24"/>
          <w:shd w:val="clear" w:color="auto" w:fill="FFFFFF"/>
        </w:rPr>
        <w:t>Game, F. (2010). Management of osteomyelitis of the foot in diabetes mellitus. </w:t>
      </w:r>
      <w:r w:rsidRPr="000D2F77">
        <w:rPr>
          <w:rFonts w:ascii="Times New Roman" w:hAnsi="Times New Roman" w:cs="Times New Roman"/>
          <w:i/>
          <w:iCs/>
          <w:color w:val="000000" w:themeColor="text1"/>
          <w:sz w:val="24"/>
          <w:szCs w:val="24"/>
          <w:shd w:val="clear" w:color="auto" w:fill="FFFFFF"/>
        </w:rPr>
        <w:t>Nature Reviews Endocrinology</w:t>
      </w:r>
      <w:r w:rsidRPr="000D2F77">
        <w:rPr>
          <w:rFonts w:ascii="Times New Roman" w:hAnsi="Times New Roman" w:cs="Times New Roman"/>
          <w:color w:val="000000" w:themeColor="text1"/>
          <w:sz w:val="24"/>
          <w:szCs w:val="24"/>
          <w:shd w:val="clear" w:color="auto" w:fill="FFFFFF"/>
        </w:rPr>
        <w:t>, </w:t>
      </w:r>
      <w:r w:rsidRPr="000D2F77">
        <w:rPr>
          <w:rFonts w:ascii="Times New Roman" w:hAnsi="Times New Roman" w:cs="Times New Roman"/>
          <w:i/>
          <w:iCs/>
          <w:color w:val="000000" w:themeColor="text1"/>
          <w:sz w:val="24"/>
          <w:szCs w:val="24"/>
          <w:shd w:val="clear" w:color="auto" w:fill="FFFFFF"/>
        </w:rPr>
        <w:t>6</w:t>
      </w:r>
      <w:r w:rsidRPr="000D2F77">
        <w:rPr>
          <w:rFonts w:ascii="Times New Roman" w:hAnsi="Times New Roman" w:cs="Times New Roman"/>
          <w:color w:val="000000" w:themeColor="text1"/>
          <w:sz w:val="24"/>
          <w:szCs w:val="24"/>
          <w:shd w:val="clear" w:color="auto" w:fill="FFFFFF"/>
        </w:rPr>
        <w:t>(1), 43-47.</w:t>
      </w:r>
    </w:p>
    <w:p w:rsidR="000D2F77" w:rsidRPr="000D2F77" w:rsidRDefault="003B15E9" w:rsidP="000D2F77">
      <w:pPr>
        <w:spacing w:after="0" w:line="480" w:lineRule="auto"/>
        <w:ind w:left="851" w:hanging="851"/>
        <w:rPr>
          <w:rFonts w:ascii="Times New Roman" w:hAnsi="Times New Roman" w:cs="Times New Roman"/>
          <w:color w:val="000000" w:themeColor="text1"/>
          <w:sz w:val="24"/>
          <w:szCs w:val="24"/>
          <w:shd w:val="clear" w:color="auto" w:fill="FFFFFF"/>
        </w:rPr>
      </w:pPr>
      <w:r w:rsidRPr="000D2F77">
        <w:rPr>
          <w:rFonts w:ascii="Times New Roman" w:hAnsi="Times New Roman" w:cs="Times New Roman"/>
          <w:color w:val="000000" w:themeColor="text1"/>
          <w:sz w:val="24"/>
          <w:szCs w:val="24"/>
          <w:shd w:val="clear" w:color="auto" w:fill="FFFFFF"/>
        </w:rPr>
        <w:t>Guo, Q., Wang, Y., Xu, D., Nossent, J., Pavlos, N. J., &amp; Xu, J. (2018). Rheumatoid arthritis: pathological mechanisms and modern pharmacologic therapies. </w:t>
      </w:r>
      <w:r w:rsidRPr="000D2F77">
        <w:rPr>
          <w:rFonts w:ascii="Times New Roman" w:hAnsi="Times New Roman" w:cs="Times New Roman"/>
          <w:i/>
          <w:iCs/>
          <w:color w:val="000000" w:themeColor="text1"/>
          <w:sz w:val="24"/>
          <w:szCs w:val="24"/>
          <w:shd w:val="clear" w:color="auto" w:fill="FFFFFF"/>
        </w:rPr>
        <w:t>Bone Research</w:t>
      </w:r>
      <w:r w:rsidRPr="000D2F77">
        <w:rPr>
          <w:rFonts w:ascii="Times New Roman" w:hAnsi="Times New Roman" w:cs="Times New Roman"/>
          <w:color w:val="000000" w:themeColor="text1"/>
          <w:sz w:val="24"/>
          <w:szCs w:val="24"/>
          <w:shd w:val="clear" w:color="auto" w:fill="FFFFFF"/>
        </w:rPr>
        <w:t>, </w:t>
      </w:r>
      <w:r w:rsidRPr="000D2F77">
        <w:rPr>
          <w:rFonts w:ascii="Times New Roman" w:hAnsi="Times New Roman" w:cs="Times New Roman"/>
          <w:i/>
          <w:iCs/>
          <w:color w:val="000000" w:themeColor="text1"/>
          <w:sz w:val="24"/>
          <w:szCs w:val="24"/>
          <w:shd w:val="clear" w:color="auto" w:fill="FFFFFF"/>
        </w:rPr>
        <w:t>6</w:t>
      </w:r>
      <w:r w:rsidRPr="000D2F77">
        <w:rPr>
          <w:rFonts w:ascii="Times New Roman" w:hAnsi="Times New Roman" w:cs="Times New Roman"/>
          <w:color w:val="000000" w:themeColor="text1"/>
          <w:sz w:val="24"/>
          <w:szCs w:val="24"/>
          <w:shd w:val="clear" w:color="auto" w:fill="FFFFFF"/>
        </w:rPr>
        <w:t xml:space="preserve">, 15. </w:t>
      </w:r>
      <w:hyperlink r:id="rId8" w:history="1">
        <w:r w:rsidRPr="000D2F77">
          <w:rPr>
            <w:rStyle w:val="Hyperlink"/>
            <w:rFonts w:ascii="Times New Roman" w:hAnsi="Times New Roman" w:cs="Times New Roman"/>
            <w:color w:val="000000" w:themeColor="text1"/>
            <w:sz w:val="24"/>
            <w:szCs w:val="24"/>
            <w:u w:val="none"/>
            <w:shd w:val="clear" w:color="auto" w:fill="FFFFFF"/>
          </w:rPr>
          <w:t>https://doi.org/10.1038/s41413-018-0016-9</w:t>
        </w:r>
      </w:hyperlink>
    </w:p>
    <w:p w:rsidR="000D2F77" w:rsidRPr="000D2F77" w:rsidRDefault="003B15E9" w:rsidP="000D2F77">
      <w:pPr>
        <w:spacing w:after="0" w:line="480" w:lineRule="auto"/>
        <w:ind w:left="851" w:hanging="851"/>
        <w:rPr>
          <w:rFonts w:ascii="Times New Roman" w:hAnsi="Times New Roman" w:cs="Times New Roman"/>
          <w:color w:val="000000" w:themeColor="text1"/>
          <w:sz w:val="24"/>
          <w:szCs w:val="24"/>
          <w:shd w:val="clear" w:color="auto" w:fill="FFFFFF"/>
        </w:rPr>
      </w:pPr>
      <w:r w:rsidRPr="000D2F77">
        <w:rPr>
          <w:rFonts w:ascii="Times New Roman" w:hAnsi="Times New Roman" w:cs="Times New Roman"/>
          <w:color w:val="000000" w:themeColor="text1"/>
          <w:sz w:val="24"/>
          <w:szCs w:val="24"/>
          <w:shd w:val="clear" w:color="auto" w:fill="FFFFFF"/>
        </w:rPr>
        <w:t xml:space="preserve">Ragab, G., Elshahaly, M., &amp; Bardin, T. (2017). Gout: An old disease in a new perspective - A review. </w:t>
      </w:r>
      <w:r w:rsidRPr="000D2F77">
        <w:rPr>
          <w:rFonts w:ascii="Times New Roman" w:hAnsi="Times New Roman" w:cs="Times New Roman"/>
          <w:i/>
          <w:iCs/>
          <w:color w:val="000000" w:themeColor="text1"/>
          <w:sz w:val="24"/>
          <w:szCs w:val="24"/>
          <w:shd w:val="clear" w:color="auto" w:fill="FFFFFF"/>
        </w:rPr>
        <w:t>Journal of advanced research</w:t>
      </w:r>
      <w:r w:rsidRPr="000D2F77">
        <w:rPr>
          <w:rFonts w:ascii="Times New Roman" w:hAnsi="Times New Roman" w:cs="Times New Roman"/>
          <w:color w:val="000000" w:themeColor="text1"/>
          <w:sz w:val="24"/>
          <w:szCs w:val="24"/>
          <w:shd w:val="clear" w:color="auto" w:fill="FFFFFF"/>
        </w:rPr>
        <w:t>, </w:t>
      </w:r>
      <w:r w:rsidRPr="000D2F77">
        <w:rPr>
          <w:rFonts w:ascii="Times New Roman" w:hAnsi="Times New Roman" w:cs="Times New Roman"/>
          <w:i/>
          <w:iCs/>
          <w:color w:val="000000" w:themeColor="text1"/>
          <w:sz w:val="24"/>
          <w:szCs w:val="24"/>
          <w:shd w:val="clear" w:color="auto" w:fill="FFFFFF"/>
        </w:rPr>
        <w:t>8</w:t>
      </w:r>
      <w:r w:rsidRPr="000D2F77">
        <w:rPr>
          <w:rFonts w:ascii="Times New Roman" w:hAnsi="Times New Roman" w:cs="Times New Roman"/>
          <w:color w:val="000000" w:themeColor="text1"/>
          <w:sz w:val="24"/>
          <w:szCs w:val="24"/>
          <w:shd w:val="clear" w:color="auto" w:fill="FFFFFF"/>
        </w:rPr>
        <w:t xml:space="preserve">(5), 495–511. </w:t>
      </w:r>
      <w:hyperlink r:id="rId9" w:history="1">
        <w:r w:rsidRPr="000D2F77">
          <w:rPr>
            <w:rStyle w:val="Hyperlink"/>
            <w:rFonts w:ascii="Times New Roman" w:hAnsi="Times New Roman" w:cs="Times New Roman"/>
            <w:color w:val="000000" w:themeColor="text1"/>
            <w:sz w:val="24"/>
            <w:szCs w:val="24"/>
            <w:u w:val="none"/>
            <w:shd w:val="clear" w:color="auto" w:fill="FFFFFF"/>
          </w:rPr>
          <w:t>https://doi.org/10.1016/j.jare.2017.04.008</w:t>
        </w:r>
      </w:hyperlink>
    </w:p>
    <w:p w:rsidR="000D2F77" w:rsidRPr="000D2F77" w:rsidRDefault="003B15E9" w:rsidP="000D2F77">
      <w:pPr>
        <w:spacing w:after="0" w:line="480" w:lineRule="auto"/>
        <w:ind w:left="851" w:hanging="851"/>
        <w:rPr>
          <w:rFonts w:ascii="Times New Roman" w:hAnsi="Times New Roman" w:cs="Times New Roman"/>
          <w:color w:val="000000" w:themeColor="text1"/>
          <w:sz w:val="24"/>
          <w:szCs w:val="24"/>
          <w:shd w:val="clear" w:color="auto" w:fill="FFFFFF"/>
        </w:rPr>
      </w:pPr>
      <w:r w:rsidRPr="000D2F77">
        <w:rPr>
          <w:rFonts w:ascii="Times New Roman" w:hAnsi="Times New Roman" w:cs="Times New Roman"/>
          <w:color w:val="000000" w:themeColor="text1"/>
          <w:sz w:val="24"/>
          <w:szCs w:val="24"/>
          <w:shd w:val="clear" w:color="auto" w:fill="FFFFFF"/>
        </w:rPr>
        <w:t>Schmitt, S. K. (2017). Osteomyelitis. </w:t>
      </w:r>
      <w:r w:rsidRPr="000D2F77">
        <w:rPr>
          <w:rFonts w:ascii="Times New Roman" w:hAnsi="Times New Roman" w:cs="Times New Roman"/>
          <w:i/>
          <w:iCs/>
          <w:color w:val="000000" w:themeColor="text1"/>
          <w:sz w:val="24"/>
          <w:szCs w:val="24"/>
          <w:shd w:val="clear" w:color="auto" w:fill="FFFFFF"/>
        </w:rPr>
        <w:t>Infectious Disease Clinics</w:t>
      </w:r>
      <w:r w:rsidRPr="000D2F77">
        <w:rPr>
          <w:rFonts w:ascii="Times New Roman" w:hAnsi="Times New Roman" w:cs="Times New Roman"/>
          <w:color w:val="000000" w:themeColor="text1"/>
          <w:sz w:val="24"/>
          <w:szCs w:val="24"/>
          <w:shd w:val="clear" w:color="auto" w:fill="FFFFFF"/>
        </w:rPr>
        <w:t>, </w:t>
      </w:r>
      <w:r w:rsidRPr="000D2F77">
        <w:rPr>
          <w:rFonts w:ascii="Times New Roman" w:hAnsi="Times New Roman" w:cs="Times New Roman"/>
          <w:i/>
          <w:iCs/>
          <w:color w:val="000000" w:themeColor="text1"/>
          <w:sz w:val="24"/>
          <w:szCs w:val="24"/>
          <w:shd w:val="clear" w:color="auto" w:fill="FFFFFF"/>
        </w:rPr>
        <w:t>31</w:t>
      </w:r>
      <w:r w:rsidRPr="000D2F77">
        <w:rPr>
          <w:rFonts w:ascii="Times New Roman" w:hAnsi="Times New Roman" w:cs="Times New Roman"/>
          <w:color w:val="000000" w:themeColor="text1"/>
          <w:sz w:val="24"/>
          <w:szCs w:val="24"/>
          <w:shd w:val="clear" w:color="auto" w:fill="FFFFFF"/>
        </w:rPr>
        <w:t>(2), 325-338.</w:t>
      </w:r>
    </w:p>
    <w:sectPr w:rsidR="000D2F77" w:rsidRPr="000D2F77" w:rsidSect="00AA282C">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32C5" w:rsidRDefault="00A432C5" w:rsidP="00AA282C">
      <w:pPr>
        <w:spacing w:after="0" w:line="240" w:lineRule="auto"/>
      </w:pPr>
      <w:r>
        <w:separator/>
      </w:r>
    </w:p>
  </w:endnote>
  <w:endnote w:type="continuationSeparator" w:id="1">
    <w:p w:rsidR="00A432C5" w:rsidRDefault="00A432C5" w:rsidP="00AA282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32C5" w:rsidRDefault="00A432C5" w:rsidP="00AA282C">
      <w:pPr>
        <w:spacing w:after="0" w:line="240" w:lineRule="auto"/>
      </w:pPr>
      <w:r>
        <w:separator/>
      </w:r>
    </w:p>
  </w:footnote>
  <w:footnote w:type="continuationSeparator" w:id="1">
    <w:p w:rsidR="00A432C5" w:rsidRDefault="00A432C5" w:rsidP="00AA282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4993510"/>
      <w:docPartObj>
        <w:docPartGallery w:val="Page Numbers (Top of Page)"/>
        <w:docPartUnique/>
      </w:docPartObj>
    </w:sdtPr>
    <w:sdtEndPr>
      <w:rPr>
        <w:rFonts w:ascii="Times New Roman" w:hAnsi="Times New Roman" w:cs="Times New Roman"/>
        <w:noProof/>
        <w:sz w:val="24"/>
        <w:szCs w:val="24"/>
      </w:rPr>
    </w:sdtEndPr>
    <w:sdtContent>
      <w:p w:rsidR="00B35ED4" w:rsidRPr="00B35ED4" w:rsidRDefault="00D20EE6">
        <w:pPr>
          <w:pStyle w:val="Header"/>
          <w:jc w:val="right"/>
          <w:rPr>
            <w:rFonts w:ascii="Times New Roman" w:hAnsi="Times New Roman" w:cs="Times New Roman"/>
            <w:sz w:val="24"/>
            <w:szCs w:val="24"/>
          </w:rPr>
        </w:pPr>
        <w:r w:rsidRPr="00B35ED4">
          <w:rPr>
            <w:rFonts w:ascii="Times New Roman" w:hAnsi="Times New Roman" w:cs="Times New Roman"/>
            <w:sz w:val="24"/>
            <w:szCs w:val="24"/>
          </w:rPr>
          <w:fldChar w:fldCharType="begin"/>
        </w:r>
        <w:r w:rsidR="003B15E9" w:rsidRPr="00B35ED4">
          <w:rPr>
            <w:rFonts w:ascii="Times New Roman" w:hAnsi="Times New Roman" w:cs="Times New Roman"/>
            <w:sz w:val="24"/>
            <w:szCs w:val="24"/>
          </w:rPr>
          <w:instrText xml:space="preserve"> PAGE   \* MERGEFORMAT </w:instrText>
        </w:r>
        <w:r w:rsidRPr="00B35ED4">
          <w:rPr>
            <w:rFonts w:ascii="Times New Roman" w:hAnsi="Times New Roman" w:cs="Times New Roman"/>
            <w:sz w:val="24"/>
            <w:szCs w:val="24"/>
          </w:rPr>
          <w:fldChar w:fldCharType="separate"/>
        </w:r>
        <w:r w:rsidR="00FB1C6E">
          <w:rPr>
            <w:rFonts w:ascii="Times New Roman" w:hAnsi="Times New Roman" w:cs="Times New Roman"/>
            <w:noProof/>
            <w:sz w:val="24"/>
            <w:szCs w:val="24"/>
          </w:rPr>
          <w:t>11</w:t>
        </w:r>
        <w:r w:rsidRPr="00B35ED4">
          <w:rPr>
            <w:rFonts w:ascii="Times New Roman" w:hAnsi="Times New Roman" w:cs="Times New Roman"/>
            <w:noProof/>
            <w:sz w:val="24"/>
            <w:szCs w:val="24"/>
          </w:rPr>
          <w:fldChar w:fldCharType="end"/>
        </w:r>
      </w:p>
    </w:sdtContent>
  </w:sdt>
  <w:p w:rsidR="00B35ED4" w:rsidRDefault="00B35E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1B051B"/>
    <w:multiLevelType w:val="hybridMultilevel"/>
    <w:tmpl w:val="05BAE98A"/>
    <w:lvl w:ilvl="0" w:tplc="04D4A194">
      <w:start w:val="1"/>
      <w:numFmt w:val="decimal"/>
      <w:lvlText w:val="%1."/>
      <w:lvlJc w:val="left"/>
      <w:pPr>
        <w:ind w:left="720" w:hanging="360"/>
      </w:pPr>
      <w:rPr>
        <w:rFonts w:hint="default"/>
      </w:rPr>
    </w:lvl>
    <w:lvl w:ilvl="1" w:tplc="1902ACA0" w:tentative="1">
      <w:start w:val="1"/>
      <w:numFmt w:val="lowerLetter"/>
      <w:lvlText w:val="%2."/>
      <w:lvlJc w:val="left"/>
      <w:pPr>
        <w:ind w:left="1440" w:hanging="360"/>
      </w:pPr>
    </w:lvl>
    <w:lvl w:ilvl="2" w:tplc="1DF49900" w:tentative="1">
      <w:start w:val="1"/>
      <w:numFmt w:val="lowerRoman"/>
      <w:lvlText w:val="%3."/>
      <w:lvlJc w:val="right"/>
      <w:pPr>
        <w:ind w:left="2160" w:hanging="180"/>
      </w:pPr>
    </w:lvl>
    <w:lvl w:ilvl="3" w:tplc="06A2ED58" w:tentative="1">
      <w:start w:val="1"/>
      <w:numFmt w:val="decimal"/>
      <w:lvlText w:val="%4."/>
      <w:lvlJc w:val="left"/>
      <w:pPr>
        <w:ind w:left="2880" w:hanging="360"/>
      </w:pPr>
    </w:lvl>
    <w:lvl w:ilvl="4" w:tplc="11986858" w:tentative="1">
      <w:start w:val="1"/>
      <w:numFmt w:val="lowerLetter"/>
      <w:lvlText w:val="%5."/>
      <w:lvlJc w:val="left"/>
      <w:pPr>
        <w:ind w:left="3600" w:hanging="360"/>
      </w:pPr>
    </w:lvl>
    <w:lvl w:ilvl="5" w:tplc="7264CE38" w:tentative="1">
      <w:start w:val="1"/>
      <w:numFmt w:val="lowerRoman"/>
      <w:lvlText w:val="%6."/>
      <w:lvlJc w:val="right"/>
      <w:pPr>
        <w:ind w:left="4320" w:hanging="180"/>
      </w:pPr>
    </w:lvl>
    <w:lvl w:ilvl="6" w:tplc="E67CB462" w:tentative="1">
      <w:start w:val="1"/>
      <w:numFmt w:val="decimal"/>
      <w:lvlText w:val="%7."/>
      <w:lvlJc w:val="left"/>
      <w:pPr>
        <w:ind w:left="5040" w:hanging="360"/>
      </w:pPr>
    </w:lvl>
    <w:lvl w:ilvl="7" w:tplc="9FCA9EA0" w:tentative="1">
      <w:start w:val="1"/>
      <w:numFmt w:val="lowerLetter"/>
      <w:lvlText w:val="%8."/>
      <w:lvlJc w:val="left"/>
      <w:pPr>
        <w:ind w:left="5760" w:hanging="360"/>
      </w:pPr>
    </w:lvl>
    <w:lvl w:ilvl="8" w:tplc="DFB01E48" w:tentative="1">
      <w:start w:val="1"/>
      <w:numFmt w:val="lowerRoman"/>
      <w:lvlText w:val="%9."/>
      <w:lvlJc w:val="right"/>
      <w:pPr>
        <w:ind w:left="6480" w:hanging="180"/>
      </w:pPr>
    </w:lvl>
  </w:abstractNum>
  <w:abstractNum w:abstractNumId="1">
    <w:nsid w:val="246F6AB1"/>
    <w:multiLevelType w:val="hybridMultilevel"/>
    <w:tmpl w:val="AB36A098"/>
    <w:lvl w:ilvl="0" w:tplc="8C9A60E2">
      <w:start w:val="1"/>
      <w:numFmt w:val="bullet"/>
      <w:lvlText w:val=""/>
      <w:lvlJc w:val="left"/>
      <w:pPr>
        <w:ind w:left="720" w:hanging="360"/>
      </w:pPr>
      <w:rPr>
        <w:rFonts w:ascii="Symbol" w:hAnsi="Symbol" w:hint="default"/>
      </w:rPr>
    </w:lvl>
    <w:lvl w:ilvl="1" w:tplc="52644158" w:tentative="1">
      <w:start w:val="1"/>
      <w:numFmt w:val="bullet"/>
      <w:lvlText w:val="o"/>
      <w:lvlJc w:val="left"/>
      <w:pPr>
        <w:ind w:left="1440" w:hanging="360"/>
      </w:pPr>
      <w:rPr>
        <w:rFonts w:ascii="Courier New" w:hAnsi="Courier New" w:cs="Courier New" w:hint="default"/>
      </w:rPr>
    </w:lvl>
    <w:lvl w:ilvl="2" w:tplc="2698EC9C" w:tentative="1">
      <w:start w:val="1"/>
      <w:numFmt w:val="bullet"/>
      <w:lvlText w:val=""/>
      <w:lvlJc w:val="left"/>
      <w:pPr>
        <w:ind w:left="2160" w:hanging="360"/>
      </w:pPr>
      <w:rPr>
        <w:rFonts w:ascii="Wingdings" w:hAnsi="Wingdings" w:hint="default"/>
      </w:rPr>
    </w:lvl>
    <w:lvl w:ilvl="3" w:tplc="C6DC61DC" w:tentative="1">
      <w:start w:val="1"/>
      <w:numFmt w:val="bullet"/>
      <w:lvlText w:val=""/>
      <w:lvlJc w:val="left"/>
      <w:pPr>
        <w:ind w:left="2880" w:hanging="360"/>
      </w:pPr>
      <w:rPr>
        <w:rFonts w:ascii="Symbol" w:hAnsi="Symbol" w:hint="default"/>
      </w:rPr>
    </w:lvl>
    <w:lvl w:ilvl="4" w:tplc="B6069A70" w:tentative="1">
      <w:start w:val="1"/>
      <w:numFmt w:val="bullet"/>
      <w:lvlText w:val="o"/>
      <w:lvlJc w:val="left"/>
      <w:pPr>
        <w:ind w:left="3600" w:hanging="360"/>
      </w:pPr>
      <w:rPr>
        <w:rFonts w:ascii="Courier New" w:hAnsi="Courier New" w:cs="Courier New" w:hint="default"/>
      </w:rPr>
    </w:lvl>
    <w:lvl w:ilvl="5" w:tplc="655E588A" w:tentative="1">
      <w:start w:val="1"/>
      <w:numFmt w:val="bullet"/>
      <w:lvlText w:val=""/>
      <w:lvlJc w:val="left"/>
      <w:pPr>
        <w:ind w:left="4320" w:hanging="360"/>
      </w:pPr>
      <w:rPr>
        <w:rFonts w:ascii="Wingdings" w:hAnsi="Wingdings" w:hint="default"/>
      </w:rPr>
    </w:lvl>
    <w:lvl w:ilvl="6" w:tplc="0CBAAC7C" w:tentative="1">
      <w:start w:val="1"/>
      <w:numFmt w:val="bullet"/>
      <w:lvlText w:val=""/>
      <w:lvlJc w:val="left"/>
      <w:pPr>
        <w:ind w:left="5040" w:hanging="360"/>
      </w:pPr>
      <w:rPr>
        <w:rFonts w:ascii="Symbol" w:hAnsi="Symbol" w:hint="default"/>
      </w:rPr>
    </w:lvl>
    <w:lvl w:ilvl="7" w:tplc="A0464B9A" w:tentative="1">
      <w:start w:val="1"/>
      <w:numFmt w:val="bullet"/>
      <w:lvlText w:val="o"/>
      <w:lvlJc w:val="left"/>
      <w:pPr>
        <w:ind w:left="5760" w:hanging="360"/>
      </w:pPr>
      <w:rPr>
        <w:rFonts w:ascii="Courier New" w:hAnsi="Courier New" w:cs="Courier New" w:hint="default"/>
      </w:rPr>
    </w:lvl>
    <w:lvl w:ilvl="8" w:tplc="B98A9BA4"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560B9"/>
    <w:rsid w:val="000821B9"/>
    <w:rsid w:val="000D2F77"/>
    <w:rsid w:val="00155E19"/>
    <w:rsid w:val="001F406B"/>
    <w:rsid w:val="003560B9"/>
    <w:rsid w:val="003B15E9"/>
    <w:rsid w:val="003D4FF0"/>
    <w:rsid w:val="0050031B"/>
    <w:rsid w:val="00573134"/>
    <w:rsid w:val="006B25C2"/>
    <w:rsid w:val="006F11DC"/>
    <w:rsid w:val="00745EB7"/>
    <w:rsid w:val="00751816"/>
    <w:rsid w:val="00824CF0"/>
    <w:rsid w:val="008F3D49"/>
    <w:rsid w:val="009E68BE"/>
    <w:rsid w:val="00A432C5"/>
    <w:rsid w:val="00A84593"/>
    <w:rsid w:val="00AA282C"/>
    <w:rsid w:val="00AA7EED"/>
    <w:rsid w:val="00AE5DA0"/>
    <w:rsid w:val="00B35ED4"/>
    <w:rsid w:val="00B54E9E"/>
    <w:rsid w:val="00B81502"/>
    <w:rsid w:val="00BA0C23"/>
    <w:rsid w:val="00BE7BEC"/>
    <w:rsid w:val="00C12EC3"/>
    <w:rsid w:val="00C33C63"/>
    <w:rsid w:val="00D03F11"/>
    <w:rsid w:val="00D20EE6"/>
    <w:rsid w:val="00D47110"/>
    <w:rsid w:val="00E05D34"/>
    <w:rsid w:val="00F6671A"/>
    <w:rsid w:val="00FB1C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82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BEC"/>
    <w:pPr>
      <w:ind w:left="720"/>
      <w:contextualSpacing/>
    </w:pPr>
  </w:style>
  <w:style w:type="character" w:styleId="Hyperlink">
    <w:name w:val="Hyperlink"/>
    <w:basedOn w:val="DefaultParagraphFont"/>
    <w:uiPriority w:val="99"/>
    <w:unhideWhenUsed/>
    <w:rsid w:val="00D03F11"/>
    <w:rPr>
      <w:color w:val="0563C1" w:themeColor="hyperlink"/>
      <w:u w:val="single"/>
    </w:rPr>
  </w:style>
  <w:style w:type="character" w:customStyle="1" w:styleId="UnresolvedMention">
    <w:name w:val="Unresolved Mention"/>
    <w:basedOn w:val="DefaultParagraphFont"/>
    <w:uiPriority w:val="99"/>
    <w:semiHidden/>
    <w:unhideWhenUsed/>
    <w:rsid w:val="00D03F11"/>
    <w:rPr>
      <w:color w:val="605E5C"/>
      <w:shd w:val="clear" w:color="auto" w:fill="E1DFDD"/>
    </w:rPr>
  </w:style>
  <w:style w:type="paragraph" w:styleId="Header">
    <w:name w:val="header"/>
    <w:basedOn w:val="Normal"/>
    <w:link w:val="HeaderChar"/>
    <w:uiPriority w:val="99"/>
    <w:unhideWhenUsed/>
    <w:rsid w:val="00B35E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5ED4"/>
  </w:style>
  <w:style w:type="paragraph" w:styleId="Footer">
    <w:name w:val="footer"/>
    <w:basedOn w:val="Normal"/>
    <w:link w:val="FooterChar"/>
    <w:uiPriority w:val="99"/>
    <w:unhideWhenUsed/>
    <w:rsid w:val="00B35E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5ED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38/s41413-018-0016-9" TargetMode="External"/><Relationship Id="rId3" Type="http://schemas.openxmlformats.org/officeDocument/2006/relationships/settings" Target="settings.xml"/><Relationship Id="rId7" Type="http://schemas.openxmlformats.org/officeDocument/2006/relationships/hyperlink" Target="https://doi.org/10.1016/j.jbo.2018.10.00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doi.org/10.1016/j.jare.2017.04.0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2461</Words>
  <Characters>14032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2020-12-04T06:18:00Z</dcterms:created>
  <dcterms:modified xsi:type="dcterms:W3CDTF">2020-12-04T06:18:00Z</dcterms:modified>
</cp:coreProperties>
</file>