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7605" w14:textId="77777777" w:rsidR="00FD53DE" w:rsidRPr="00063421" w:rsidRDefault="00FD53DE" w:rsidP="00FD53DE">
      <w:pPr>
        <w:spacing w:after="0" w:line="480" w:lineRule="auto"/>
        <w:jc w:val="center"/>
        <w:rPr>
          <w:rFonts w:cs="Times New Roman"/>
          <w:b/>
          <w:bCs/>
          <w:szCs w:val="24"/>
        </w:rPr>
      </w:pPr>
      <w:r w:rsidRPr="00063421">
        <w:rPr>
          <w:rFonts w:cs="Times New Roman"/>
          <w:b/>
          <w:bCs/>
          <w:szCs w:val="24"/>
        </w:rPr>
        <w:t>Problem Identification and Description using PICOT Format</w:t>
      </w:r>
    </w:p>
    <w:p w14:paraId="150094BB" w14:textId="77777777" w:rsidR="00FD53DE" w:rsidRPr="009247C9" w:rsidRDefault="00FD53DE" w:rsidP="00FD53DE">
      <w:pPr>
        <w:spacing w:after="0" w:line="480" w:lineRule="auto"/>
        <w:rPr>
          <w:rFonts w:cs="Times New Roman"/>
          <w:b/>
          <w:bCs/>
          <w:szCs w:val="24"/>
        </w:rPr>
      </w:pPr>
      <w:r w:rsidRPr="009247C9">
        <w:rPr>
          <w:rFonts w:cs="Times New Roman"/>
          <w:b/>
          <w:bCs/>
          <w:szCs w:val="24"/>
        </w:rPr>
        <w:t>Background</w:t>
      </w:r>
    </w:p>
    <w:p w14:paraId="52568799" w14:textId="77777777" w:rsidR="00FD53DE" w:rsidRPr="009247C9" w:rsidRDefault="00FD53DE" w:rsidP="00FD53DE">
      <w:pPr>
        <w:spacing w:after="0" w:line="480" w:lineRule="auto"/>
        <w:ind w:firstLine="720"/>
        <w:rPr>
          <w:rFonts w:cs="Times New Roman"/>
          <w:szCs w:val="24"/>
        </w:rPr>
      </w:pPr>
      <w:r w:rsidRPr="009247C9">
        <w:rPr>
          <w:rFonts w:cs="Times New Roman"/>
          <w:szCs w:val="24"/>
        </w:rPr>
        <w:t>Hypothyroidism is a condition that results from inadequate production of thyroid hormone by the thyroid gland. Thyroid hormone is responsible for regulating metabolism, i.e., the way the body generates and utilizes energy. It is also involved in brain development, heart and nervous system functions, body temperature regulation, breathing, muscle strength, moderation of cholesterol levels, menstrual cycle, and weight. Therefore, underproduction of this hormone will cause many body functions to slow down due to lack of energy required for vitality.</w:t>
      </w:r>
    </w:p>
    <w:p w14:paraId="5C9CE53A" w14:textId="77777777" w:rsidR="00FD53DE" w:rsidRPr="009247C9" w:rsidRDefault="00FD53DE" w:rsidP="00FD53DE">
      <w:pPr>
        <w:spacing w:after="0" w:line="480" w:lineRule="auto"/>
        <w:ind w:firstLine="720"/>
        <w:rPr>
          <w:rFonts w:cs="Times New Roman"/>
          <w:szCs w:val="24"/>
        </w:rPr>
      </w:pPr>
      <w:r w:rsidRPr="009247C9">
        <w:rPr>
          <w:rFonts w:cs="Times New Roman"/>
          <w:szCs w:val="24"/>
        </w:rPr>
        <w:t>Hypothyroidism has several causes, which include: chronic lymphocytic thyroiditis (also known as the Hashimoto’s disease), thyroiditis (i.e., leakage of thyroid hormone from the thyroid gland due to inflammation/enlargement), congenital hypothyroidism (referring to hypothyroidism present at birth), surgical removal of the thyroid gland, radiation treatment of the thyroid, and certain medications that interfere with thyroid hormone production. According to the National Institute of Diabetes and Digestive and Kidney Diseases (NIDDK), hypothyroidism affects 5 out of every 100 Americans aged 12 years and older.</w:t>
      </w:r>
    </w:p>
    <w:p w14:paraId="0A12CA73" w14:textId="77777777" w:rsidR="00FD53DE" w:rsidRPr="009247C9" w:rsidRDefault="00FD53DE" w:rsidP="00FD53DE">
      <w:pPr>
        <w:spacing w:after="0" w:line="480" w:lineRule="auto"/>
        <w:rPr>
          <w:rFonts w:cs="Times New Roman"/>
          <w:b/>
          <w:bCs/>
          <w:szCs w:val="24"/>
        </w:rPr>
      </w:pPr>
      <w:r w:rsidRPr="009247C9">
        <w:rPr>
          <w:rFonts w:cs="Times New Roman"/>
          <w:b/>
          <w:bCs/>
          <w:szCs w:val="24"/>
        </w:rPr>
        <w:t>Problem Identification</w:t>
      </w:r>
    </w:p>
    <w:p w14:paraId="0DED523B" w14:textId="77777777" w:rsidR="00FD53DE" w:rsidRPr="009247C9" w:rsidRDefault="00FD53DE" w:rsidP="00FD53DE">
      <w:pPr>
        <w:spacing w:after="0" w:line="480" w:lineRule="auto"/>
        <w:ind w:firstLine="720"/>
        <w:rPr>
          <w:rFonts w:cs="Times New Roman"/>
          <w:szCs w:val="24"/>
        </w:rPr>
      </w:pPr>
      <w:r w:rsidRPr="009247C9">
        <w:rPr>
          <w:rFonts w:cs="Times New Roman"/>
          <w:szCs w:val="24"/>
        </w:rPr>
        <w:t xml:space="preserve">Hypothyroidism is represented among the most common conditions in the population served by the community clinic I am currently placed in for my clinical rotation. The population affected by this condition and served by the clinic is mostly composed of people aged 24 and above. Most of those cases are attributable to defects in the thyroid gland (primary hypothyroidism). The pressing health problem in the clinical microsystem regarding treatment and management of hypothyroidism among patients served by the clinic is non-adherence to </w:t>
      </w:r>
      <w:r w:rsidRPr="009247C9">
        <w:rPr>
          <w:rFonts w:cs="Times New Roman"/>
          <w:szCs w:val="24"/>
        </w:rPr>
        <w:lastRenderedPageBreak/>
        <w:t>medication and poor diet. Majority of patients attending clinic services for management of hypothyroidism are of Mexican descent – a social factor that is considered pertinent and causal to the compliance problem. Of the patients diagnosed with the condition and of Mexican descent and reported as somewhat non-compliant with dietary and medication advice, a common factor between them is that they come from economically disadvantaged communities.</w:t>
      </w:r>
    </w:p>
    <w:p w14:paraId="64785A9A" w14:textId="77777777" w:rsidR="00FD53DE" w:rsidRPr="009247C9" w:rsidRDefault="00FD53DE" w:rsidP="00FD53DE">
      <w:pPr>
        <w:spacing w:after="0" w:line="480" w:lineRule="auto"/>
        <w:rPr>
          <w:rFonts w:cs="Times New Roman"/>
          <w:b/>
          <w:bCs/>
          <w:szCs w:val="24"/>
        </w:rPr>
      </w:pPr>
      <w:r w:rsidRPr="009247C9">
        <w:rPr>
          <w:rFonts w:cs="Times New Roman"/>
          <w:b/>
          <w:bCs/>
          <w:szCs w:val="24"/>
        </w:rPr>
        <w:t>Issue</w:t>
      </w:r>
    </w:p>
    <w:p w14:paraId="7838B67C" w14:textId="77777777" w:rsidR="00FD53DE" w:rsidRPr="009247C9" w:rsidRDefault="00FD53DE" w:rsidP="00FD53DE">
      <w:pPr>
        <w:spacing w:after="0" w:line="480" w:lineRule="auto"/>
        <w:ind w:firstLine="720"/>
        <w:rPr>
          <w:rFonts w:cs="Times New Roman"/>
          <w:szCs w:val="24"/>
        </w:rPr>
      </w:pPr>
      <w:r w:rsidRPr="009247C9">
        <w:rPr>
          <w:rFonts w:cs="Times New Roman"/>
          <w:szCs w:val="24"/>
        </w:rPr>
        <w:t>As noted above, the overarching health issue among patients with hypothyroidism in my clinical site is non-compliance with dietary and medication directives issued by the health and care team. While people of all races and sex are represented in the statistics for hypothyroidism in the population served, non-compliance is especially a problem among Latino females. This representation creates room for generalization, particularly supporting the supposition that economic and social factors tied to race and gender, play a role in compliance behavior in treatment of this condition.</w:t>
      </w:r>
    </w:p>
    <w:p w14:paraId="32BDAC82" w14:textId="77777777" w:rsidR="00FD53DE" w:rsidRPr="009247C9" w:rsidRDefault="00FD53DE" w:rsidP="00FD53DE">
      <w:pPr>
        <w:spacing w:after="0" w:line="480" w:lineRule="auto"/>
        <w:ind w:firstLine="720"/>
        <w:rPr>
          <w:rFonts w:cs="Times New Roman"/>
          <w:szCs w:val="24"/>
        </w:rPr>
      </w:pPr>
      <w:r w:rsidRPr="009247C9">
        <w:rPr>
          <w:rFonts w:cs="Times New Roman"/>
          <w:szCs w:val="24"/>
        </w:rPr>
        <w:t>The demographic trends witnessed in hypothyroidism in the population my clinical site serves, when generalized to reflect the outlook on a much broader scope, can be understood through the Critical Race Theory (CRT). The theory asserts that social institutions in the U.S. (e.g., the labor market, the criminal justice system, education system, healthcare system, and the housing market) are laced with racism embedded in rules, regulations, laws, and procedures, which then leads to differences in outcomes between races (Ray &amp; Gibbons, 2021). Using the CRT as the background on which the health problem in this project is set up, we begin to suspect that while hypothyroidism indiscriminately affects Americans of all races and other social classifications, the greater representation of Latino females as compared to other races hints the existence of inequalities in America’s social institutions.</w:t>
      </w:r>
    </w:p>
    <w:p w14:paraId="318FBBA3" w14:textId="77777777" w:rsidR="00FD53DE" w:rsidRPr="009247C9" w:rsidRDefault="00FD53DE" w:rsidP="00FD53DE">
      <w:pPr>
        <w:spacing w:after="0" w:line="480" w:lineRule="auto"/>
        <w:ind w:firstLine="720"/>
        <w:rPr>
          <w:rFonts w:cs="Times New Roman"/>
          <w:szCs w:val="24"/>
        </w:rPr>
      </w:pPr>
      <w:r w:rsidRPr="009247C9">
        <w:rPr>
          <w:rFonts w:cs="Times New Roman"/>
          <w:szCs w:val="24"/>
        </w:rPr>
        <w:lastRenderedPageBreak/>
        <w:t>The second theory to make sense of the problem and issue in the change project is the Systems Model by Neuman. This nursing theory considers four metaparadigms of nursing – the environment, person, health, and nursing. In this model, the individual is viewed as a composite of variables, which include physiological, psychological, developmental, sociocultural, and spiritual components (Hannoodee &amp; Dhamoon, 2021). Therefore, an individual’s level of health and wellness is determined by how well they develop defenses in these areas to prevent potential stressors. Hypothyroidism itself is a stressor on the individual’s physiological being and potentially stretches over to their developmental, psychological, and sociocultural domains as they contend with the health and social implications of a diagnosis.</w:t>
      </w:r>
    </w:p>
    <w:p w14:paraId="721E2FD5" w14:textId="77777777" w:rsidR="00FD53DE" w:rsidRPr="009247C9" w:rsidRDefault="00FD53DE" w:rsidP="00FD53DE">
      <w:pPr>
        <w:spacing w:after="0" w:line="480" w:lineRule="auto"/>
        <w:ind w:firstLine="720"/>
        <w:rPr>
          <w:rFonts w:cs="Times New Roman"/>
          <w:szCs w:val="24"/>
        </w:rPr>
      </w:pPr>
      <w:r w:rsidRPr="009247C9">
        <w:rPr>
          <w:rFonts w:cs="Times New Roman"/>
          <w:szCs w:val="24"/>
        </w:rPr>
        <w:t>The CRT and Systems Model offer guidance to understand and develop solutions to issues surrounding a hypothyroidism diagnosis and management. Their pertinence to the health issue described above is a compelling reason to complete this health promoting project to provide assistance to people affected by the condition and who are vulnerable to social and economic stressors dealt by race as well as the disease itself.</w:t>
      </w:r>
    </w:p>
    <w:p w14:paraId="0B1DF37F" w14:textId="77777777" w:rsidR="00FD53DE" w:rsidRPr="009247C9" w:rsidRDefault="00FD53DE" w:rsidP="00FD53DE">
      <w:pPr>
        <w:spacing w:after="0" w:line="480" w:lineRule="auto"/>
        <w:rPr>
          <w:rFonts w:cs="Times New Roman"/>
          <w:b/>
          <w:bCs/>
          <w:szCs w:val="24"/>
        </w:rPr>
      </w:pPr>
      <w:r w:rsidRPr="009247C9">
        <w:rPr>
          <w:rFonts w:cs="Times New Roman"/>
          <w:b/>
          <w:bCs/>
          <w:szCs w:val="24"/>
        </w:rPr>
        <w:t>Significance of the Evidence-Based Project</w:t>
      </w:r>
    </w:p>
    <w:p w14:paraId="1712FF05" w14:textId="77777777" w:rsidR="00FD53DE" w:rsidRPr="009247C9" w:rsidRDefault="00FD53DE" w:rsidP="00FD53DE">
      <w:pPr>
        <w:spacing w:after="0" w:line="480" w:lineRule="auto"/>
        <w:ind w:firstLine="720"/>
        <w:rPr>
          <w:rFonts w:cs="Times New Roman"/>
          <w:szCs w:val="24"/>
        </w:rPr>
      </w:pPr>
      <w:r w:rsidRPr="009247C9">
        <w:rPr>
          <w:rFonts w:cs="Times New Roman"/>
          <w:szCs w:val="24"/>
        </w:rPr>
        <w:t>The evidence-based project to be implemented here is a change project designed to offer education to patients to improve their compliance behaviors when managing hypothyroidism. From observation, non-compliance with dietary and medication directives is the most significant issue among patients served in the community clinic. Several studies have reported similar observations among patients on levothyroxine replacement therapy (Vaidya &amp; Pearce, 2008). In most cases of non-compliance, culprit patients miss dosage because they do not feel different despite taking medication. In some, patients reportedly take a double dose on the day following a missed dose.</w:t>
      </w:r>
    </w:p>
    <w:p w14:paraId="4ECE18EA" w14:textId="77777777" w:rsidR="00FD53DE" w:rsidRPr="009247C9" w:rsidRDefault="00FD53DE" w:rsidP="00FD53DE">
      <w:pPr>
        <w:spacing w:after="0" w:line="480" w:lineRule="auto"/>
        <w:ind w:firstLine="720"/>
        <w:rPr>
          <w:rFonts w:cs="Times New Roman"/>
          <w:szCs w:val="24"/>
        </w:rPr>
      </w:pPr>
      <w:r w:rsidRPr="009247C9">
        <w:rPr>
          <w:rFonts w:cs="Times New Roman"/>
          <w:szCs w:val="24"/>
        </w:rPr>
        <w:lastRenderedPageBreak/>
        <w:t>Based on preliminary research on this topic, the sparseness of research articles and other literary materials on hypothyroidism indicates limited thyroid research. According to Castillo-Gonzalez et al., (2020), most clinical recommendations on hypothyroidism are based on observational studies. Moreover, recent evidence shows that thyroid research remains generally underfunded when compared to other diseases with more prevalence and higher impact on morbidity and mortality. Because of this misfortune, randomized clinical trials (RCTs) are far and scarce in hypothyroidism research, which then limits the availability and utility of best scientific evidence to develop clinical guidelines. Due to a trickle-down effect, the knowledge gaps in research lead to inefficiencies in knowledge transmission to patients; potentially explaining why non-compliance remain a huge problem in management of the condition.</w:t>
      </w:r>
    </w:p>
    <w:p w14:paraId="539EA864" w14:textId="77777777" w:rsidR="00FD53DE" w:rsidRPr="009247C9" w:rsidRDefault="00FD53DE" w:rsidP="00FD53DE">
      <w:pPr>
        <w:spacing w:after="0" w:line="480" w:lineRule="auto"/>
        <w:ind w:firstLine="720"/>
        <w:rPr>
          <w:rFonts w:cs="Times New Roman"/>
          <w:szCs w:val="24"/>
        </w:rPr>
      </w:pPr>
      <w:r w:rsidRPr="009247C9">
        <w:rPr>
          <w:rFonts w:cs="Times New Roman"/>
          <w:szCs w:val="24"/>
        </w:rPr>
        <w:t>Despite the gaps in knowledge present in thyroid research, observational studies and techniques are by no means an indication of low-quality evidence. The current evidence-based project itself relies on an observational research methodology and obtains its validity from the fact that issues presented in the project are built from lived, existential experiences. The potential benefit of such a strategy is that evidence drawn therein provides a causal inference through which patient care can be improved.</w:t>
      </w:r>
    </w:p>
    <w:p w14:paraId="08AEE6F0" w14:textId="77777777" w:rsidR="00FD53DE" w:rsidRDefault="00FD53DE" w:rsidP="00FD53DE">
      <w:pPr>
        <w:spacing w:after="0" w:line="480" w:lineRule="auto"/>
        <w:ind w:firstLine="720"/>
        <w:rPr>
          <w:rFonts w:cs="Times New Roman"/>
          <w:szCs w:val="24"/>
        </w:rPr>
      </w:pPr>
      <w:r w:rsidRPr="009247C9">
        <w:rPr>
          <w:rFonts w:cs="Times New Roman"/>
          <w:szCs w:val="24"/>
        </w:rPr>
        <w:t>The PICOT question to guide the study, therefore, is: “Among Latino females with hypothyroidism (P), how does a tailored education program (I) improve non-compliance with dietary and medical instruction (O) following a nine-week program (T)?</w:t>
      </w:r>
    </w:p>
    <w:p w14:paraId="38DE3A2A" w14:textId="77777777" w:rsidR="00FD53DE" w:rsidRDefault="00FD53DE" w:rsidP="00FD53DE">
      <w:pPr>
        <w:spacing w:after="0" w:line="480" w:lineRule="auto"/>
        <w:ind w:firstLine="720"/>
        <w:rPr>
          <w:rFonts w:cs="Times New Roman"/>
          <w:szCs w:val="24"/>
        </w:rPr>
      </w:pPr>
    </w:p>
    <w:p w14:paraId="406A20D8" w14:textId="77777777" w:rsidR="00FD53DE" w:rsidRDefault="00FD53DE" w:rsidP="00FD53DE">
      <w:pPr>
        <w:spacing w:after="0" w:line="480" w:lineRule="auto"/>
        <w:ind w:firstLine="720"/>
        <w:rPr>
          <w:rFonts w:cs="Times New Roman"/>
          <w:szCs w:val="24"/>
        </w:rPr>
      </w:pPr>
    </w:p>
    <w:p w14:paraId="427AD22A" w14:textId="77777777" w:rsidR="00FD53DE" w:rsidRDefault="00FD53DE" w:rsidP="00FD53DE">
      <w:pPr>
        <w:spacing w:after="0" w:line="480" w:lineRule="auto"/>
        <w:ind w:firstLine="720"/>
        <w:rPr>
          <w:rFonts w:cs="Times New Roman"/>
          <w:szCs w:val="24"/>
        </w:rPr>
      </w:pPr>
    </w:p>
    <w:p w14:paraId="7CDD6AF9" w14:textId="77777777" w:rsidR="00FD53DE" w:rsidRDefault="00FD53DE" w:rsidP="00FD53DE">
      <w:pPr>
        <w:spacing w:after="0" w:line="480" w:lineRule="auto"/>
        <w:jc w:val="center"/>
        <w:rPr>
          <w:rFonts w:cs="Times New Roman"/>
          <w:b/>
          <w:bCs/>
          <w:szCs w:val="24"/>
        </w:rPr>
      </w:pPr>
    </w:p>
    <w:p w14:paraId="555DCADE" w14:textId="77777777" w:rsidR="00FD53DE" w:rsidRPr="00063421" w:rsidRDefault="00FD53DE" w:rsidP="00FD53DE">
      <w:pPr>
        <w:spacing w:after="0" w:line="480" w:lineRule="auto"/>
        <w:jc w:val="center"/>
        <w:rPr>
          <w:rFonts w:cs="Times New Roman"/>
          <w:b/>
          <w:bCs/>
          <w:szCs w:val="24"/>
        </w:rPr>
      </w:pPr>
      <w:r w:rsidRPr="00063421">
        <w:rPr>
          <w:rFonts w:cs="Times New Roman"/>
          <w:b/>
          <w:bCs/>
          <w:szCs w:val="24"/>
        </w:rPr>
        <w:lastRenderedPageBreak/>
        <w:t>The Integrative Literature Review</w:t>
      </w:r>
    </w:p>
    <w:p w14:paraId="0A3C7C98" w14:textId="77777777" w:rsidR="00FD53DE" w:rsidRPr="000229B8" w:rsidRDefault="00FD53DE" w:rsidP="00FD53DE">
      <w:pPr>
        <w:spacing w:after="0" w:line="480" w:lineRule="auto"/>
        <w:ind w:firstLine="720"/>
        <w:rPr>
          <w:rFonts w:cs="Times New Roman"/>
          <w:szCs w:val="24"/>
        </w:rPr>
      </w:pPr>
      <w:r w:rsidRPr="000229B8">
        <w:rPr>
          <w:rFonts w:cs="Times New Roman"/>
          <w:szCs w:val="24"/>
        </w:rPr>
        <w:t xml:space="preserve">Levothyroxine (LT4) therapy is the recommended medication for treatment of hypothyroidism. The average daily dosage is typically set at 100-200 </w:t>
      </w:r>
      <w:r w:rsidRPr="000229B8">
        <w:rPr>
          <w:rFonts w:ascii="Cambria Math" w:hAnsi="Cambria Math" w:cs="Cambria Math"/>
          <w:szCs w:val="24"/>
        </w:rPr>
        <w:t>𝜇</w:t>
      </w:r>
      <w:r w:rsidRPr="000229B8">
        <w:rPr>
          <w:rFonts w:cs="Times New Roman"/>
          <w:szCs w:val="24"/>
        </w:rPr>
        <w:t xml:space="preserve">g or 1.5-2.2 </w:t>
      </w:r>
      <w:r w:rsidRPr="000229B8">
        <w:rPr>
          <w:rFonts w:ascii="Cambria Math" w:hAnsi="Cambria Math" w:cs="Cambria Math"/>
          <w:szCs w:val="24"/>
        </w:rPr>
        <w:t>𝜇</w:t>
      </w:r>
      <w:r w:rsidRPr="000229B8">
        <w:rPr>
          <w:rFonts w:cs="Times New Roman"/>
          <w:szCs w:val="24"/>
        </w:rPr>
        <w:t>g/kg (Nakano et al., 2019). Like any other chronic medical illness that demands life-long management, non-adherence to medication is a salient issue among patients with hypothyroidism. According to AlHewiti (2014), patients in developed countries are estimated to adhere to their medication only half of the time (50%), and potentially much higher times in developing countries. From these statistics, it is presumable that non-adherence occurs for many complex reasons.</w:t>
      </w:r>
    </w:p>
    <w:p w14:paraId="4D8493CE" w14:textId="77777777" w:rsidR="00FD53DE" w:rsidRPr="000229B8" w:rsidRDefault="00FD53DE" w:rsidP="00FD53DE">
      <w:pPr>
        <w:spacing w:after="0" w:line="480" w:lineRule="auto"/>
        <w:ind w:firstLine="720"/>
        <w:rPr>
          <w:rFonts w:cs="Times New Roman"/>
          <w:szCs w:val="24"/>
        </w:rPr>
      </w:pPr>
      <w:r w:rsidRPr="000229B8">
        <w:rPr>
          <w:rFonts w:cs="Times New Roman"/>
          <w:szCs w:val="24"/>
        </w:rPr>
        <w:t>On a much broader scope, people will fail to adhere to medication either intentionally or unintentionally. Straightforwardly, unintentional non-adherence can be attributed to factors such as forgetfulness, complexity of medication regimen (AlHewiti, 2014), and health illiteracy (Kumar &amp; Shaukat, 2019). Intentional non-adherence, however, is much more complex and has attracted considerable attention among the scientific research community. Within the context of the theory of planned behavior (TPB), intentional non-adherence can be defined as an individual’s behavioral intent to violate a medication regimen that can be predicted by their beliefs and attitudes about the likelihood of failing to adhere as well as their subjective evaluation of the risks and benefits of non-adherence (LaMorte, 2019). It follows, therefore, that a favorable attitude towards adherence and the intention to behave accordingly are prerequisites for intentional adherence (AlHewiti, 2014). However, the utility of the TBP is limited to normative influences on behavioral intent; it goes no further than that, and so fails to account for environmental and economic factors that may be causal in non-adherent behavior.</w:t>
      </w:r>
      <w:r w:rsidRPr="000229B8">
        <w:rPr>
          <w:rFonts w:cs="Times New Roman"/>
          <w:szCs w:val="24"/>
        </w:rPr>
        <w:br w:type="page"/>
      </w:r>
    </w:p>
    <w:p w14:paraId="722735B3" w14:textId="77777777" w:rsidR="00FD53DE" w:rsidRPr="000229B8" w:rsidRDefault="00FD53DE" w:rsidP="00FD53DE">
      <w:pPr>
        <w:spacing w:after="0" w:line="480" w:lineRule="auto"/>
        <w:ind w:firstLine="720"/>
        <w:rPr>
          <w:rFonts w:cs="Times New Roman"/>
          <w:szCs w:val="24"/>
        </w:rPr>
      </w:pPr>
      <w:r w:rsidRPr="000229B8">
        <w:rPr>
          <w:rFonts w:cs="Times New Roman"/>
          <w:szCs w:val="24"/>
        </w:rPr>
        <w:lastRenderedPageBreak/>
        <w:t>The research article by Hepp et al., (2018) gathers and synthesizes data on adherence to thyroid hormonal replacement therapy contained in the Truven’s Health Analytics MarketScan Commercial Claims and Encounters (CCAE) database. The ensuing report is an insightful resource based on health records of millions of insured individuals collected between 2000 and 2016. From a sample of 580,331 individuals diagnosed with hypothyroidism and effectively placed on levothyroxine, the study found that adherence at 12 months of therapy was lower than at 6 months. In the first sixth month, overall adherence was 59.7% of patients (Hepp et al., 2018). Another 6 months later, this had dropped to 48.1%. These trends were consistent across all formulations of the drug, levothyroxine, leading to the conclusion that drug formulation does not influence behavioral intent to adhere to medication.</w:t>
      </w:r>
    </w:p>
    <w:p w14:paraId="65441B7F" w14:textId="77777777" w:rsidR="00FD53DE" w:rsidRPr="000229B8" w:rsidRDefault="00FD53DE" w:rsidP="00FD53DE">
      <w:pPr>
        <w:spacing w:after="0" w:line="480" w:lineRule="auto"/>
        <w:ind w:firstLine="720"/>
        <w:rPr>
          <w:rFonts w:cs="Times New Roman"/>
          <w:szCs w:val="24"/>
        </w:rPr>
      </w:pPr>
      <w:r w:rsidRPr="000229B8">
        <w:rPr>
          <w:rFonts w:cs="Times New Roman"/>
          <w:szCs w:val="24"/>
        </w:rPr>
        <w:t>Interestingly, the American Association of Clinical Endocrinologists (AACE) and the American Thyroid Association (ATA) publish guidelines that discourage variability in levothyroxine preparation for individual patients between refills (2020). This guideline is informed by the uniqueness of individual tablet formulations and the uncertainty regarding the bioequivalence between formulations and oral solutions (Hepp et al., 2018; Scavone et al., 2016). Even so, the type of medication has been observed to assert some influence on compliance among patients. In one study by Scavone et al., (2016) on the use of pharmaceutical formulations, the results show that switching levothyroxine medication from tablet to oral solution increases compliance. The implication of this finding is that levothyroxine in oral solution (or soft gel capsule) form offers higher efficacy than its tablet form. The oral solution removes the demand for fasting, thus convenient for patients preferring to take medication at breakfast, who then become more compliant (Scavone et al., 2016). However, eventually, adherence reduces over time even with these formulations as observed by Hepp et al., (2018).</w:t>
      </w:r>
    </w:p>
    <w:p w14:paraId="00DFC091" w14:textId="77777777" w:rsidR="00FD53DE" w:rsidRPr="000229B8" w:rsidRDefault="00FD53DE" w:rsidP="00FD53DE">
      <w:pPr>
        <w:spacing w:after="0" w:line="480" w:lineRule="auto"/>
        <w:ind w:firstLine="720"/>
        <w:rPr>
          <w:rFonts w:cs="Times New Roman"/>
          <w:szCs w:val="24"/>
        </w:rPr>
      </w:pPr>
      <w:r w:rsidRPr="000229B8">
        <w:rPr>
          <w:rFonts w:cs="Times New Roman"/>
          <w:szCs w:val="24"/>
        </w:rPr>
        <w:lastRenderedPageBreak/>
        <w:t>The simplicity of unintentional non-adherence makes it an easy problem to deal with. Since this type of non-adherence is caused by excusable lapses in conduct, notably forgetfulness and “health illiteracy”, these are easily corrected by setting reminders, simplifying medication regimens, and improving patient counselling to patients. Studies have shown that adherence can be improved by reducing the frequency of the regimen and sticking to specific drug packaging (AlHewiti, 2014). To improve adherence, manufacturers are known to include signage in drug packaging; some common signage include weekly check-boxes and single-dose blisters marked with day and time. These observations show that unintentional non-adherence is relatively a facile problem with simple solutions that can be highly effective when implemented purposefully.</w:t>
      </w:r>
    </w:p>
    <w:p w14:paraId="22EB1D98" w14:textId="77777777" w:rsidR="00FD53DE" w:rsidRPr="000229B8" w:rsidRDefault="00FD53DE" w:rsidP="00FD53DE">
      <w:pPr>
        <w:spacing w:after="0" w:line="480" w:lineRule="auto"/>
        <w:ind w:firstLine="720"/>
        <w:rPr>
          <w:rFonts w:cs="Times New Roman"/>
          <w:szCs w:val="24"/>
        </w:rPr>
      </w:pPr>
      <w:r w:rsidRPr="000229B8">
        <w:rPr>
          <w:rFonts w:cs="Times New Roman"/>
          <w:szCs w:val="24"/>
        </w:rPr>
        <w:t>Intentional non-adherence is a more problematic issue in health care since it is strongly associated with a person’s beliefs and their cognition. It usually involves an active cognitive process that informs a person’s decision to forfeit medication or ignore treatment recommendations. It reflects a rational decision-making process in which the patient understands and weighs to benefits and drawbacks of treatment (Kumar &amp; Shaukat, 2019). Interventions to improve adherence in chronically ill patients intentionally contravening their set treatment regimen are far more complex than those recommended for unintentional non-adherence. The spectrum beliefs that these patients hold about medication is expansive and must be altered to motivate back into adherence.</w:t>
      </w:r>
    </w:p>
    <w:p w14:paraId="30DB1C6C" w14:textId="77777777" w:rsidR="00FD53DE" w:rsidRPr="000229B8" w:rsidRDefault="00FD53DE" w:rsidP="00FD53DE">
      <w:pPr>
        <w:spacing w:after="0" w:line="480" w:lineRule="auto"/>
        <w:ind w:firstLine="720"/>
        <w:rPr>
          <w:rFonts w:cs="Times New Roman"/>
          <w:szCs w:val="24"/>
        </w:rPr>
      </w:pPr>
      <w:r w:rsidRPr="000229B8">
        <w:rPr>
          <w:rFonts w:cs="Times New Roman"/>
          <w:szCs w:val="24"/>
        </w:rPr>
        <w:t xml:space="preserve">AlHewiti (2014) notes that beliefs affecting medication can vary not only based on personal influences but also according to their cultures and other social identifiers. As most studies on adherence to medication among chronically ill patients find, patients are empowered to comply with treatment regimen if they can draw meaningfulness from their treatment </w:t>
      </w:r>
      <w:r w:rsidRPr="000229B8">
        <w:rPr>
          <w:rFonts w:cs="Times New Roman"/>
          <w:szCs w:val="24"/>
        </w:rPr>
        <w:lastRenderedPageBreak/>
        <w:t>experience, i.e., if they consider their illness management worth investing the time and energy in, then they are more likely to the adhere to their medication regimen (Náfrádi et al., 2016). Furthermore, intentional non-adherence can be attributed to patients acting on their concern about the negative consequences of prolonged drug use, e.g., developing an addiction, organ injury, declining efficacy, and so on (Náfrádi et al., 2016).</w:t>
      </w:r>
    </w:p>
    <w:p w14:paraId="60DE3628" w14:textId="77777777" w:rsidR="00FD53DE" w:rsidRPr="000229B8" w:rsidRDefault="00FD53DE" w:rsidP="00FD53DE">
      <w:pPr>
        <w:spacing w:after="0" w:line="480" w:lineRule="auto"/>
        <w:ind w:firstLine="720"/>
        <w:rPr>
          <w:rFonts w:cs="Times New Roman"/>
          <w:szCs w:val="24"/>
        </w:rPr>
      </w:pPr>
      <w:r w:rsidRPr="000229B8">
        <w:rPr>
          <w:rFonts w:cs="Times New Roman"/>
          <w:szCs w:val="24"/>
        </w:rPr>
        <w:t>In their study, Náfrádi et al., (2016) find that age is a predictor of medication adherence; younger people are more likely to be intentionally non-compliant compared to their older counterparts. This outcome is attributable to lifestyle factors. Older patients are generally better positioned by their lifestyles to dedicate more time and attention to their medication regimen; their adherence is also improved by the supports available to them such as pill boxes, calendars, and family members acting as caregivers. The conclusion to be drawn from such findings is that socio-demographic factors play some role in the compliance among patients, thus their impact should be investigated separately.</w:t>
      </w:r>
    </w:p>
    <w:p w14:paraId="47D099B3" w14:textId="77777777" w:rsidR="00FD53DE" w:rsidRPr="000229B8" w:rsidRDefault="00FD53DE" w:rsidP="00FD53DE">
      <w:pPr>
        <w:spacing w:after="0" w:line="480" w:lineRule="auto"/>
        <w:ind w:firstLine="720"/>
        <w:rPr>
          <w:rFonts w:cs="Times New Roman"/>
          <w:szCs w:val="24"/>
        </w:rPr>
      </w:pPr>
      <w:r w:rsidRPr="000229B8">
        <w:rPr>
          <w:rFonts w:cs="Times New Roman"/>
          <w:szCs w:val="24"/>
        </w:rPr>
        <w:t xml:space="preserve">The consequence of non-adherence whether intentional or unintentional is that affected patients fail to receive optimal pharmacological reprieve. Non-adherence is an obstacle to effective treatment and potentially increases morbidity and mortality as disease goes untreated or undertreated (Náfrádi et al., 2016). Patient education and mobile health interventions are some of the most common interventions lauded for their contributions to improved adherence. In his study, AlHewiti (2014) observes that education about medication is directly associated with patients’ views about their treatment plan, thus a potential for change in their beliefs and attitudes about compliance. In another study by Li et al., (2021), mobile health technologies are appraised as having the promise to assist patients become more adherent to prescribed medication. Seeing that intentional non-adherence is associated with cognitive decision to </w:t>
      </w:r>
      <w:r w:rsidRPr="000229B8">
        <w:rPr>
          <w:rFonts w:cs="Times New Roman"/>
          <w:szCs w:val="24"/>
        </w:rPr>
        <w:lastRenderedPageBreak/>
        <w:t>contravene treatment plans, educational interventions and mobile health technologies offer the benefit of helping to reshape non-compliant behavior among patients.</w:t>
      </w:r>
    </w:p>
    <w:p w14:paraId="28A53F3F" w14:textId="77777777" w:rsidR="00FD53DE" w:rsidRPr="000229B8" w:rsidRDefault="00FD53DE" w:rsidP="00FD53DE">
      <w:pPr>
        <w:spacing w:after="0" w:line="480" w:lineRule="auto"/>
        <w:ind w:firstLine="720"/>
        <w:rPr>
          <w:rFonts w:cs="Times New Roman"/>
          <w:szCs w:val="24"/>
        </w:rPr>
      </w:pPr>
      <w:r w:rsidRPr="000229B8">
        <w:rPr>
          <w:rFonts w:cs="Times New Roman"/>
          <w:szCs w:val="24"/>
        </w:rPr>
        <w:t>Patient education in the context of chronic illness should be different from patient education for patients in acute care. The reasoning here is that health literacy among patients with chronic illness, who become non-adherent later during their treatment is not a concern that can be addressed through education since the patient is usually already well-equipped with the knowledge for self-management (Náfrádi et al., 2016). In fact, health literacy does not predict medication adherence in chronically ill patients (Náfrádi et al., 2016). By logic, these people, especially after a long time, have obtained, processed, and understood the basic health information related to their medical condition. Their non-adherence is merely a consequence of their decision to take a medically inappropriate health decision that is not in any way associated with health illiteracy.</w:t>
      </w:r>
    </w:p>
    <w:p w14:paraId="667817D8" w14:textId="77777777" w:rsidR="00FD53DE" w:rsidRDefault="00FD53DE" w:rsidP="00FD53DE">
      <w:pPr>
        <w:spacing w:after="0" w:line="480" w:lineRule="auto"/>
        <w:ind w:firstLine="720"/>
        <w:rPr>
          <w:rFonts w:cs="Times New Roman"/>
          <w:szCs w:val="24"/>
        </w:rPr>
      </w:pPr>
      <w:r w:rsidRPr="000229B8">
        <w:rPr>
          <w:rFonts w:cs="Times New Roman"/>
          <w:szCs w:val="24"/>
        </w:rPr>
        <w:t>Rather than conventional education programs designed to bring patients to the right knowledge and awareness of their medical condition and the implications of non-adherence, the ideal intervention strategy for these patients would be psychological empowerment to persist in treatment. Patient empowerment recognizes that non-adherence is partly caused by the psychological strain that a life-long medication regimen places on individuals. Educational interventions in this context, therefore, are intended to motivate patients to take more responsibility for their person medical decisions. The dimensions of such interventions include: (1) meaningfulness, i.e., the value of actions worth taking continued interest in and commitment to; (2) impact, i.e., the notion that one’s actions are not in vain; (3) autonomy, i.e., the state of being capable and liable of one’s own choices; and (4) competence, i.e., the confidence in one’s ability to see certain actions through.</w:t>
      </w:r>
      <w:r w:rsidRPr="000229B8">
        <w:rPr>
          <w:rFonts w:cs="Times New Roman"/>
          <w:szCs w:val="24"/>
        </w:rPr>
        <w:br w:type="page"/>
      </w:r>
    </w:p>
    <w:p w14:paraId="2837B002" w14:textId="77777777" w:rsidR="00FD53DE" w:rsidRPr="0062493C" w:rsidRDefault="00FD53DE" w:rsidP="00FD53DE">
      <w:pPr>
        <w:spacing w:after="0" w:line="480" w:lineRule="auto"/>
        <w:jc w:val="center"/>
        <w:rPr>
          <w:rFonts w:cs="Times New Roman"/>
          <w:b/>
          <w:bCs/>
          <w:szCs w:val="24"/>
        </w:rPr>
      </w:pPr>
      <w:r w:rsidRPr="0062493C">
        <w:rPr>
          <w:rFonts w:cs="Times New Roman"/>
          <w:b/>
          <w:bCs/>
          <w:szCs w:val="24"/>
        </w:rPr>
        <w:lastRenderedPageBreak/>
        <w:t>Project Aims, Values, and Desired Outcomes</w:t>
      </w:r>
    </w:p>
    <w:p w14:paraId="7B67FDD6" w14:textId="77777777" w:rsidR="00FD53DE" w:rsidRPr="0062493C" w:rsidRDefault="00FD53DE" w:rsidP="00FD53DE">
      <w:pPr>
        <w:spacing w:after="0" w:line="480" w:lineRule="auto"/>
        <w:rPr>
          <w:rFonts w:cs="Times New Roman"/>
          <w:b/>
          <w:bCs/>
          <w:szCs w:val="24"/>
        </w:rPr>
      </w:pPr>
      <w:r w:rsidRPr="0062493C">
        <w:rPr>
          <w:rFonts w:cs="Times New Roman"/>
          <w:b/>
          <w:bCs/>
          <w:szCs w:val="24"/>
        </w:rPr>
        <w:t>Project Aims</w:t>
      </w:r>
    </w:p>
    <w:p w14:paraId="5F81F506" w14:textId="77777777" w:rsidR="00FD53DE" w:rsidRPr="0062493C" w:rsidRDefault="00FD53DE" w:rsidP="00FD53DE">
      <w:pPr>
        <w:spacing w:after="0" w:line="480" w:lineRule="auto"/>
        <w:ind w:firstLine="720"/>
        <w:rPr>
          <w:rFonts w:cs="Times New Roman"/>
          <w:szCs w:val="24"/>
        </w:rPr>
      </w:pPr>
      <w:r w:rsidRPr="0062493C">
        <w:rPr>
          <w:rFonts w:cs="Times New Roman"/>
          <w:szCs w:val="24"/>
        </w:rPr>
        <w:t>It is important to note that the change project proposed in this report does not look to implement a conventional educational intervention program, thus its objective is not to bring the target population to a certain awareness through instruction. As has been discussed in the preceding section, the literature review, the portion of patients needing intervention through this change project are fully aware of the health consequences of non-adherence to medication ((Náfrádi et al., 2016). Furthermore, they are competent enough through prolonged practice of self-management of their medical condition. The aim of this project, therefore, is not education-oriented. Instead, the project’s aim is to identify and provide support and resources to motivate patients to take more responsibility for their personal medical decisions regarding compliance with physician-sanctioned treatment regimens.</w:t>
      </w:r>
    </w:p>
    <w:p w14:paraId="17A1D1CE" w14:textId="77777777" w:rsidR="00FD53DE" w:rsidRPr="0062493C" w:rsidRDefault="00FD53DE" w:rsidP="00FD53DE">
      <w:pPr>
        <w:spacing w:after="0" w:line="480" w:lineRule="auto"/>
        <w:rPr>
          <w:rFonts w:cs="Times New Roman"/>
          <w:b/>
          <w:bCs/>
          <w:szCs w:val="24"/>
        </w:rPr>
      </w:pPr>
      <w:r w:rsidRPr="0062493C">
        <w:rPr>
          <w:rFonts w:cs="Times New Roman"/>
          <w:b/>
          <w:bCs/>
          <w:szCs w:val="24"/>
        </w:rPr>
        <w:t>Project Significance</w:t>
      </w:r>
    </w:p>
    <w:p w14:paraId="35FA9185" w14:textId="77777777" w:rsidR="00FD53DE" w:rsidRPr="0062493C" w:rsidRDefault="00FD53DE" w:rsidP="00FD53DE">
      <w:pPr>
        <w:spacing w:after="0" w:line="480" w:lineRule="auto"/>
        <w:ind w:firstLine="720"/>
        <w:rPr>
          <w:rFonts w:cs="Times New Roman"/>
          <w:szCs w:val="24"/>
        </w:rPr>
      </w:pPr>
      <w:r w:rsidRPr="0062493C">
        <w:rPr>
          <w:rFonts w:cs="Times New Roman"/>
          <w:szCs w:val="24"/>
        </w:rPr>
        <w:t>According to the National Institute of Diabetes and Digestive and Kidney Diseases (NIDDK), about 5 in every 100 Americans aged 12 years and older suffer from some form of hypothyroidism (2021). Women are at a greater risk of developing the condition than men; whereas the disease prevalence is greater among people aged 60 years and older than among their younger counterparts (NIDDK, 2021). From the above statistics, hypothyroidism is widespread and demands attention as one of the several chronic diseases with high prevalence that constitutes a public health problem. The current project represents a research and development initiative as it does an intervention framework to help tackle an existential and pressing issue in the management of hypothyroidism.</w:t>
      </w:r>
    </w:p>
    <w:p w14:paraId="68AD724E" w14:textId="77777777" w:rsidR="00FD53DE" w:rsidRPr="0062493C" w:rsidRDefault="00FD53DE" w:rsidP="00FD53DE">
      <w:pPr>
        <w:spacing w:after="0" w:line="480" w:lineRule="auto"/>
        <w:ind w:firstLine="720"/>
        <w:rPr>
          <w:rFonts w:cs="Times New Roman"/>
          <w:szCs w:val="24"/>
        </w:rPr>
      </w:pPr>
      <w:r w:rsidRPr="0062493C">
        <w:rPr>
          <w:rFonts w:cs="Times New Roman"/>
          <w:szCs w:val="24"/>
        </w:rPr>
        <w:lastRenderedPageBreak/>
        <w:t>At this point, the project identifies non-adherence as the health problem needing a change intervention. Taking medication as prescribed is crucial for managing chronic medical conditions, treating temporary ones, and attaining overall long-term health and wellness (FDA, 2016). Through a review of the literature, it has become apparent that patient non-adherence to medication goes beyond forgetfulness and complexity of medication regimen. For some time now, errors in prescribing, dispensing, and monitoring drug therapy within hospital settings have been implicated in the incidence of non-adherence (Tariq et al., 2020). Such problems have been dealt with effectively through the implementation of closer surveillance measures with the help of mobile technologies. However, non-adherence as a direct consequence of planned behavior remains a problem among patients with chronic diseases, which demand life-long self-management.</w:t>
      </w:r>
    </w:p>
    <w:p w14:paraId="6107161E" w14:textId="77777777" w:rsidR="00FD53DE" w:rsidRPr="0062493C" w:rsidRDefault="00FD53DE" w:rsidP="00FD53DE">
      <w:pPr>
        <w:spacing w:after="0" w:line="480" w:lineRule="auto"/>
        <w:ind w:firstLine="720"/>
        <w:rPr>
          <w:rFonts w:cs="Times New Roman"/>
          <w:szCs w:val="24"/>
        </w:rPr>
      </w:pPr>
      <w:r w:rsidRPr="0062493C">
        <w:rPr>
          <w:rFonts w:cs="Times New Roman"/>
          <w:szCs w:val="24"/>
        </w:rPr>
        <w:t>The current project proposes the development of support structures and facilitation of resources to promote best practices among patients with hypothyroidism, notably through changed behavior. It seeks to resolve a complex socio-behavioral problem that poses serious health and safety risks among non-compliant patients with hypothyroidism.</w:t>
      </w:r>
    </w:p>
    <w:p w14:paraId="67E8596F" w14:textId="77777777" w:rsidR="00FD53DE" w:rsidRPr="0062493C" w:rsidRDefault="00FD53DE" w:rsidP="00FD53DE">
      <w:pPr>
        <w:spacing w:after="0" w:line="480" w:lineRule="auto"/>
        <w:rPr>
          <w:rFonts w:cs="Times New Roman"/>
          <w:b/>
          <w:bCs/>
          <w:szCs w:val="24"/>
        </w:rPr>
      </w:pPr>
      <w:r w:rsidRPr="0062493C">
        <w:rPr>
          <w:rFonts w:cs="Times New Roman"/>
          <w:b/>
          <w:bCs/>
          <w:szCs w:val="24"/>
        </w:rPr>
        <w:t>Project Values</w:t>
      </w:r>
    </w:p>
    <w:p w14:paraId="57BBDDAD" w14:textId="77777777" w:rsidR="00FD53DE" w:rsidRPr="0062493C" w:rsidRDefault="00FD53DE" w:rsidP="00FD53DE">
      <w:pPr>
        <w:spacing w:after="0" w:line="480" w:lineRule="auto"/>
        <w:ind w:firstLine="720"/>
        <w:rPr>
          <w:rFonts w:cs="Times New Roman"/>
          <w:szCs w:val="24"/>
        </w:rPr>
      </w:pPr>
      <w:r w:rsidRPr="0062493C">
        <w:rPr>
          <w:rFonts w:cs="Times New Roman"/>
          <w:szCs w:val="24"/>
        </w:rPr>
        <w:t>With the change project proposed herein, some values stakeholders will expect from implementation include the following:</w:t>
      </w:r>
    </w:p>
    <w:p w14:paraId="5D341455" w14:textId="77777777" w:rsidR="00FD53DE" w:rsidRPr="0062493C" w:rsidRDefault="00FD53DE" w:rsidP="00FD53DE">
      <w:pPr>
        <w:pStyle w:val="ListParagraph"/>
        <w:numPr>
          <w:ilvl w:val="0"/>
          <w:numId w:val="1"/>
        </w:numPr>
        <w:spacing w:after="0" w:line="480" w:lineRule="auto"/>
        <w:rPr>
          <w:rFonts w:cs="Times New Roman"/>
          <w:szCs w:val="24"/>
        </w:rPr>
      </w:pPr>
      <w:r w:rsidRPr="0062493C">
        <w:rPr>
          <w:rFonts w:cs="Times New Roman"/>
          <w:szCs w:val="24"/>
        </w:rPr>
        <w:t>Development and operationalization of self-management best practice to help patients stay motivated to commit to their treatment regimen for as long as they can.</w:t>
      </w:r>
    </w:p>
    <w:p w14:paraId="31FCDC98" w14:textId="77777777" w:rsidR="00FD53DE" w:rsidRPr="0062493C" w:rsidRDefault="00FD53DE" w:rsidP="00FD53DE">
      <w:pPr>
        <w:pStyle w:val="ListParagraph"/>
        <w:numPr>
          <w:ilvl w:val="0"/>
          <w:numId w:val="1"/>
        </w:numPr>
        <w:spacing w:after="0" w:line="480" w:lineRule="auto"/>
        <w:rPr>
          <w:rFonts w:cs="Times New Roman"/>
          <w:szCs w:val="24"/>
        </w:rPr>
      </w:pPr>
      <w:r w:rsidRPr="0062493C">
        <w:rPr>
          <w:rFonts w:cs="Times New Roman"/>
          <w:szCs w:val="24"/>
        </w:rPr>
        <w:t>Reduction in prevalence and incidence of non-compliance with medication requirements, a factor that potentially leads to improved patient safety, thus higher quality of home-based health care delivery.</w:t>
      </w:r>
    </w:p>
    <w:p w14:paraId="4CA77348" w14:textId="77777777" w:rsidR="00FD53DE" w:rsidRPr="0062493C" w:rsidRDefault="00FD53DE" w:rsidP="00FD53DE">
      <w:pPr>
        <w:pStyle w:val="ListParagraph"/>
        <w:numPr>
          <w:ilvl w:val="0"/>
          <w:numId w:val="1"/>
        </w:numPr>
        <w:spacing w:after="0" w:line="480" w:lineRule="auto"/>
        <w:rPr>
          <w:rFonts w:cs="Times New Roman"/>
          <w:szCs w:val="24"/>
        </w:rPr>
      </w:pPr>
      <w:r w:rsidRPr="0062493C">
        <w:rPr>
          <w:rFonts w:cs="Times New Roman"/>
          <w:szCs w:val="24"/>
        </w:rPr>
        <w:lastRenderedPageBreak/>
        <w:t>Reduction in macro-level challenges, especially financial and organizational difficulties by providing support and resources that promote adherence to treatment.</w:t>
      </w:r>
    </w:p>
    <w:p w14:paraId="4EFE769C" w14:textId="77777777" w:rsidR="00FD53DE" w:rsidRPr="0062493C" w:rsidRDefault="00FD53DE" w:rsidP="00FD53DE">
      <w:pPr>
        <w:pStyle w:val="ListParagraph"/>
        <w:numPr>
          <w:ilvl w:val="0"/>
          <w:numId w:val="1"/>
        </w:numPr>
        <w:spacing w:after="0" w:line="480" w:lineRule="auto"/>
        <w:rPr>
          <w:rFonts w:cs="Times New Roman"/>
          <w:szCs w:val="24"/>
        </w:rPr>
      </w:pPr>
      <w:r w:rsidRPr="0062493C">
        <w:rPr>
          <w:rFonts w:cs="Times New Roman"/>
          <w:szCs w:val="24"/>
        </w:rPr>
        <w:t>Cost savings associated with improved quality of health care; non-adherence presents a health and safety issue that can lead to deterioration of an individual’s medical condition due to undertreatment or lack of treatment.</w:t>
      </w:r>
    </w:p>
    <w:p w14:paraId="13191644" w14:textId="77777777" w:rsidR="00FD53DE" w:rsidRPr="0062493C" w:rsidRDefault="00FD53DE" w:rsidP="00FD53DE">
      <w:pPr>
        <w:pStyle w:val="ListParagraph"/>
        <w:numPr>
          <w:ilvl w:val="0"/>
          <w:numId w:val="1"/>
        </w:numPr>
        <w:spacing w:after="0" w:line="480" w:lineRule="auto"/>
        <w:rPr>
          <w:rFonts w:cs="Times New Roman"/>
          <w:szCs w:val="24"/>
        </w:rPr>
      </w:pPr>
      <w:r w:rsidRPr="0062493C">
        <w:rPr>
          <w:rFonts w:cs="Times New Roman"/>
          <w:szCs w:val="24"/>
        </w:rPr>
        <w:t>Development of an intervention program that will produce tangible end results that can help researchers continue improving the best practice interventions into the future.</w:t>
      </w:r>
    </w:p>
    <w:p w14:paraId="4477EF24" w14:textId="77777777" w:rsidR="00FD53DE" w:rsidRPr="0062493C" w:rsidRDefault="00FD53DE" w:rsidP="00FD53DE">
      <w:pPr>
        <w:spacing w:after="0" w:line="480" w:lineRule="auto"/>
        <w:rPr>
          <w:rFonts w:cs="Times New Roman"/>
          <w:b/>
          <w:bCs/>
          <w:szCs w:val="24"/>
        </w:rPr>
      </w:pPr>
      <w:r w:rsidRPr="0062493C">
        <w:rPr>
          <w:rFonts w:cs="Times New Roman"/>
          <w:b/>
          <w:bCs/>
          <w:szCs w:val="24"/>
        </w:rPr>
        <w:t>Project Variables</w:t>
      </w:r>
    </w:p>
    <w:p w14:paraId="481E1A02" w14:textId="77777777" w:rsidR="00FD53DE" w:rsidRPr="0062493C" w:rsidRDefault="00FD53DE" w:rsidP="00FD53DE">
      <w:pPr>
        <w:spacing w:after="0" w:line="480" w:lineRule="auto"/>
        <w:ind w:firstLine="720"/>
        <w:rPr>
          <w:rFonts w:cs="Times New Roman"/>
          <w:szCs w:val="24"/>
        </w:rPr>
      </w:pPr>
      <w:r w:rsidRPr="0062493C">
        <w:rPr>
          <w:rFonts w:cs="Times New Roman"/>
          <w:szCs w:val="24"/>
        </w:rPr>
        <w:t>A clinic-wide change constitutes the scope for which the proposed project has its focus established as it looks to implement its change intervention. The focus is on the population served by the hospital, with the hope that resulting outcomes will be scalable further into a more expansive population/area. In this regard, some notable variables acknowledged in the project will include: scope, schedule, and cost. Scope counts as a variable since the project understands that gender is a mediating factor in non-adherence while the condition itself has several classifications and varying severity. It is important for the project to confine its scope within a finite window to ensure outcomes are specific and measurable.</w:t>
      </w:r>
    </w:p>
    <w:p w14:paraId="45D8A813" w14:textId="77777777" w:rsidR="00FD53DE" w:rsidRPr="0062493C" w:rsidRDefault="00FD53DE" w:rsidP="00FD53DE">
      <w:pPr>
        <w:spacing w:after="0" w:line="480" w:lineRule="auto"/>
        <w:ind w:firstLine="720"/>
        <w:rPr>
          <w:rFonts w:cs="Times New Roman"/>
          <w:szCs w:val="24"/>
        </w:rPr>
      </w:pPr>
      <w:r w:rsidRPr="0062493C">
        <w:rPr>
          <w:rFonts w:cs="Times New Roman"/>
          <w:szCs w:val="24"/>
        </w:rPr>
        <w:t>Regarding schedule, the foreseeable challenge the project faces is its focus on a chronic medical condition that involves life-long treatment and management. The drawn-out longevity of hypothyroidism and the potential for relapse among patients back to their old ways makes scheduling a variable that needs to be addressed to reflect the possibility of such circumstances. Cost is a variable in this project since part of the interventions therein include matching patients with supports and resources, which may include financial reprieve for patients overburdened by the persistent expenses associated with life-long treatment.</w:t>
      </w:r>
    </w:p>
    <w:p w14:paraId="23B4C994" w14:textId="77777777" w:rsidR="00FD53DE" w:rsidRPr="0062493C" w:rsidRDefault="00FD53DE" w:rsidP="00FD53DE">
      <w:pPr>
        <w:spacing w:after="0" w:line="480" w:lineRule="auto"/>
        <w:rPr>
          <w:rFonts w:cs="Times New Roman"/>
          <w:b/>
          <w:bCs/>
          <w:szCs w:val="24"/>
        </w:rPr>
      </w:pPr>
      <w:r w:rsidRPr="0062493C">
        <w:rPr>
          <w:rFonts w:cs="Times New Roman"/>
          <w:b/>
          <w:bCs/>
          <w:szCs w:val="24"/>
        </w:rPr>
        <w:lastRenderedPageBreak/>
        <w:t>Desired Outcomes</w:t>
      </w:r>
    </w:p>
    <w:p w14:paraId="69A60316" w14:textId="77777777" w:rsidR="00FD53DE" w:rsidRDefault="00FD53DE" w:rsidP="00FD53DE">
      <w:pPr>
        <w:spacing w:after="0" w:line="480" w:lineRule="auto"/>
        <w:ind w:firstLine="720"/>
        <w:rPr>
          <w:rFonts w:cs="Times New Roman"/>
          <w:szCs w:val="24"/>
        </w:rPr>
      </w:pPr>
      <w:r w:rsidRPr="0062493C">
        <w:rPr>
          <w:rFonts w:cs="Times New Roman"/>
          <w:szCs w:val="24"/>
        </w:rPr>
        <w:t>Each stakeholder attached to the project has their desired expectations of the project when implemented successfully. Among the academic, research, and scientific community, the project presents an opportunity for the development and operationalization of self-management best practices to help patients stay motivated to commit to their treatment regimen for as long as they can. On top of this, that community expects the development of an intervention program that will produce tangible end results that can help researchers continue improving the best practice interventions into the future. For patients, the project outcomes imply reduction in prevalence and incidence of non-compliance with medication requirements, a factor that potentially leads to improved patient safety, thus higher quality of home-based health care delivery. It also means reduction in macro-level challenges, especially financial and organizational difficulties by providing access to support and resources that promote adherence to treatment. The government and the public stand to benefit from cost savings associated with improved quality of health care; non-adherence presents a health and safety issue that can lead to deterioration of an individual’s medical condition due to undertreatment or lack of treatment. The project is expected to take 24 months from start to finish.</w:t>
      </w:r>
    </w:p>
    <w:p w14:paraId="20D15868" w14:textId="77777777" w:rsidR="00FD53DE" w:rsidRDefault="00FD53DE" w:rsidP="00FD53DE">
      <w:pPr>
        <w:spacing w:after="0" w:line="480" w:lineRule="auto"/>
        <w:ind w:firstLine="720"/>
        <w:rPr>
          <w:rFonts w:cs="Times New Roman"/>
          <w:szCs w:val="24"/>
        </w:rPr>
      </w:pPr>
    </w:p>
    <w:p w14:paraId="1A395976" w14:textId="77777777" w:rsidR="00FD53DE" w:rsidRDefault="00FD53DE" w:rsidP="00FD53DE">
      <w:pPr>
        <w:spacing w:after="0" w:line="480" w:lineRule="auto"/>
        <w:ind w:firstLine="720"/>
        <w:rPr>
          <w:rFonts w:cs="Times New Roman"/>
          <w:szCs w:val="24"/>
        </w:rPr>
      </w:pPr>
    </w:p>
    <w:p w14:paraId="2529C8E1" w14:textId="77777777" w:rsidR="00FD53DE" w:rsidRDefault="00FD53DE" w:rsidP="00FD53DE">
      <w:pPr>
        <w:spacing w:after="0" w:line="480" w:lineRule="auto"/>
        <w:ind w:firstLine="720"/>
        <w:rPr>
          <w:rFonts w:cs="Times New Roman"/>
          <w:szCs w:val="24"/>
        </w:rPr>
      </w:pPr>
    </w:p>
    <w:p w14:paraId="4F0C1E61" w14:textId="77777777" w:rsidR="00FD53DE" w:rsidRDefault="00FD53DE" w:rsidP="00FD53DE">
      <w:pPr>
        <w:spacing w:after="0" w:line="480" w:lineRule="auto"/>
        <w:ind w:firstLine="720"/>
        <w:rPr>
          <w:rFonts w:cs="Times New Roman"/>
          <w:szCs w:val="24"/>
        </w:rPr>
      </w:pPr>
    </w:p>
    <w:p w14:paraId="1EF64363" w14:textId="77777777" w:rsidR="00FD53DE" w:rsidRDefault="00FD53DE" w:rsidP="00FD53DE">
      <w:pPr>
        <w:spacing w:after="0" w:line="480" w:lineRule="auto"/>
        <w:rPr>
          <w:rFonts w:cs="Times New Roman"/>
          <w:szCs w:val="24"/>
        </w:rPr>
      </w:pPr>
    </w:p>
    <w:p w14:paraId="6883DFC4" w14:textId="77777777" w:rsidR="00FD53DE" w:rsidRPr="00093A3D" w:rsidRDefault="00FD53DE" w:rsidP="00FD53DE">
      <w:pPr>
        <w:spacing w:after="0" w:line="480" w:lineRule="auto"/>
        <w:rPr>
          <w:rFonts w:cs="Times New Roman"/>
          <w:b/>
          <w:bCs/>
          <w:szCs w:val="24"/>
        </w:rPr>
      </w:pPr>
    </w:p>
    <w:p w14:paraId="262C41E3" w14:textId="77777777" w:rsidR="00FD53DE" w:rsidRPr="00093A3D" w:rsidRDefault="00FD53DE" w:rsidP="00FD53DE">
      <w:pPr>
        <w:spacing w:after="0" w:line="480" w:lineRule="auto"/>
        <w:jc w:val="center"/>
        <w:rPr>
          <w:rFonts w:cs="Times New Roman"/>
          <w:b/>
          <w:bCs/>
          <w:szCs w:val="24"/>
        </w:rPr>
      </w:pPr>
    </w:p>
    <w:p w14:paraId="0AE87996" w14:textId="77777777" w:rsidR="00FD53DE" w:rsidRPr="00093A3D" w:rsidRDefault="00FD53DE" w:rsidP="00FD53DE">
      <w:pPr>
        <w:spacing w:after="0" w:line="480" w:lineRule="auto"/>
        <w:jc w:val="center"/>
        <w:rPr>
          <w:rFonts w:cs="Times New Roman"/>
          <w:b/>
          <w:bCs/>
          <w:szCs w:val="24"/>
        </w:rPr>
      </w:pPr>
      <w:r w:rsidRPr="00093A3D">
        <w:rPr>
          <w:rFonts w:cs="Times New Roman"/>
          <w:b/>
          <w:bCs/>
          <w:szCs w:val="24"/>
        </w:rPr>
        <w:lastRenderedPageBreak/>
        <w:t>Conceptual Framework</w:t>
      </w:r>
    </w:p>
    <w:p w14:paraId="138D13FC" w14:textId="77777777" w:rsidR="00FD53DE" w:rsidRPr="00093A3D" w:rsidRDefault="00FD53DE" w:rsidP="00FD53DE">
      <w:pPr>
        <w:spacing w:after="0" w:line="480" w:lineRule="auto"/>
        <w:ind w:firstLine="720"/>
        <w:rPr>
          <w:rFonts w:cs="Times New Roman"/>
          <w:szCs w:val="24"/>
        </w:rPr>
      </w:pPr>
      <w:r w:rsidRPr="00093A3D">
        <w:rPr>
          <w:rFonts w:cs="Times New Roman"/>
          <w:szCs w:val="24"/>
        </w:rPr>
        <w:t>Understanding human behavior – its causes and processes – has been a major concern of science. The complexity of behavior warrants scientific inquiry and has gone as far as forming the grounds on which whole fields of study are established, the best example being psychology. Theories are one way through which academic disciplines structure and organize their knowledge within arbitrary frameworks to establish the meaning of given phenomena through reasoning, analysis, and logical presentation (Alligood, 2018). In nursing, other ways of presenting theoretical work include metaparadigms, nursing philosophies, conceptual models, grand theory, and mid-range theory.</w:t>
      </w:r>
    </w:p>
    <w:p w14:paraId="26446FA2" w14:textId="77777777" w:rsidR="00FD53DE" w:rsidRPr="00093A3D" w:rsidRDefault="00FD53DE" w:rsidP="00FD53DE">
      <w:pPr>
        <w:spacing w:after="0" w:line="480" w:lineRule="auto"/>
        <w:ind w:firstLine="720"/>
        <w:rPr>
          <w:rFonts w:cs="Times New Roman"/>
          <w:szCs w:val="24"/>
        </w:rPr>
      </w:pPr>
      <w:r w:rsidRPr="00093A3D">
        <w:rPr>
          <w:rFonts w:cs="Times New Roman"/>
          <w:szCs w:val="24"/>
        </w:rPr>
        <w:t xml:space="preserve">In the present research, we consult two specific theoretical works to develop the research’s conceptual framework. Those works are the Theory of Planned Behavior (TPB) and the Precaution Adoption Process Model (PAPM). </w:t>
      </w:r>
    </w:p>
    <w:p w14:paraId="2A7B5F76" w14:textId="77777777" w:rsidR="00FD53DE" w:rsidRPr="00093A3D" w:rsidRDefault="00FD53DE" w:rsidP="00FD53DE">
      <w:pPr>
        <w:spacing w:after="0" w:line="480" w:lineRule="auto"/>
        <w:rPr>
          <w:rFonts w:cs="Times New Roman"/>
          <w:b/>
          <w:bCs/>
          <w:szCs w:val="24"/>
        </w:rPr>
      </w:pPr>
      <w:r w:rsidRPr="00093A3D">
        <w:rPr>
          <w:rFonts w:cs="Times New Roman"/>
          <w:b/>
          <w:bCs/>
          <w:szCs w:val="24"/>
        </w:rPr>
        <w:t>Theory of Planned Behavior</w:t>
      </w:r>
    </w:p>
    <w:p w14:paraId="5A0A01E4" w14:textId="77777777" w:rsidR="00FD53DE" w:rsidRPr="00093A3D" w:rsidRDefault="00FD53DE" w:rsidP="00FD53DE">
      <w:pPr>
        <w:spacing w:after="0" w:line="480" w:lineRule="auto"/>
        <w:ind w:firstLine="720"/>
        <w:rPr>
          <w:rFonts w:cs="Times New Roman"/>
          <w:szCs w:val="24"/>
        </w:rPr>
      </w:pPr>
      <w:r w:rsidRPr="00093A3D">
        <w:rPr>
          <w:rFonts w:cs="Times New Roman"/>
          <w:szCs w:val="24"/>
        </w:rPr>
        <w:t xml:space="preserve">The TPB theory is a behavioral model whose primary assumption is that behavior is a cognitive process that involves planning, thus deliberate behavior is predictable (Arafat &amp; Ibrahim, 2018). The central proposition in the theory is that individuals guide their actions/behavior by considering three things: (1) the beliefs they hold about the probable consequences of a given behavior, i.e., their behavioral beliefs; (2) beliefs about what other people consider to be normal behavior and expect of others, i.e., normative beliefs; and (3) beliefs about factors that may enable or prohibit them from acting in a certain way, i.e., control beliefs (LaMorte, 2019). Behavioral beliefs will trigger attitudes that embrace or discourage the planned behavior. Normative beliefs enforce subjective norms or lead to social pressure to conform with or reject what society considers appropriate behavior. Finally, control beliefs </w:t>
      </w:r>
      <w:r w:rsidRPr="00093A3D">
        <w:rPr>
          <w:rFonts w:cs="Times New Roman"/>
          <w:szCs w:val="24"/>
        </w:rPr>
        <w:lastRenderedPageBreak/>
        <w:t>inform perceived behavioral control, that is, the person’s perception of the ease or difficulty of acting in the planned manner.</w:t>
      </w:r>
    </w:p>
    <w:p w14:paraId="4CF7615E" w14:textId="77777777" w:rsidR="00FD53DE" w:rsidRPr="00093A3D" w:rsidRDefault="00FD53DE" w:rsidP="00FD53DE">
      <w:pPr>
        <w:keepNext/>
        <w:spacing w:after="0" w:line="480" w:lineRule="auto"/>
        <w:rPr>
          <w:rFonts w:cs="Times New Roman"/>
          <w:szCs w:val="24"/>
        </w:rPr>
      </w:pPr>
      <w:r w:rsidRPr="00093A3D">
        <w:rPr>
          <w:rFonts w:cs="Times New Roman"/>
          <w:noProof/>
          <w:szCs w:val="24"/>
        </w:rPr>
        <mc:AlternateContent>
          <mc:Choice Requires="wpc">
            <w:drawing>
              <wp:inline distT="0" distB="0" distL="0" distR="0" wp14:anchorId="07001754" wp14:editId="298BAE95">
                <wp:extent cx="5772150" cy="3076575"/>
                <wp:effectExtent l="0" t="0" r="0" b="952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 name="Rectangle: Rounded Corners 13"/>
                        <wps:cNvSpPr/>
                        <wps:spPr>
                          <a:xfrm>
                            <a:off x="2027851" y="590551"/>
                            <a:ext cx="1744050" cy="885825"/>
                          </a:xfrm>
                          <a:prstGeom prst="roundRect">
                            <a:avLst/>
                          </a:prstGeom>
                          <a:solidFill>
                            <a:schemeClr val="accent5"/>
                          </a:solidFill>
                        </wps:spPr>
                        <wps:style>
                          <a:lnRef idx="1">
                            <a:schemeClr val="dk1"/>
                          </a:lnRef>
                          <a:fillRef idx="2">
                            <a:schemeClr val="dk1"/>
                          </a:fillRef>
                          <a:effectRef idx="1">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3905250" y="590551"/>
                            <a:ext cx="1743075" cy="885825"/>
                          </a:xfrm>
                          <a:prstGeom prst="roundRect">
                            <a:avLst/>
                          </a:prstGeom>
                          <a:solidFill>
                            <a:schemeClr val="accent5"/>
                          </a:solidFill>
                        </wps:spPr>
                        <wps:style>
                          <a:lnRef idx="1">
                            <a:schemeClr val="dk1"/>
                          </a:lnRef>
                          <a:fillRef idx="2">
                            <a:schemeClr val="dk1"/>
                          </a:fillRef>
                          <a:effectRef idx="1">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123825" y="590551"/>
                            <a:ext cx="1828800" cy="885825"/>
                          </a:xfrm>
                          <a:prstGeom prst="roundRect">
                            <a:avLst/>
                          </a:prstGeom>
                          <a:solidFill>
                            <a:schemeClr val="accent5"/>
                          </a:solidFill>
                          <a:ln>
                            <a:solidFill>
                              <a:schemeClr val="tx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19076" y="733425"/>
                            <a:ext cx="771524" cy="581025"/>
                          </a:xfrm>
                          <a:prstGeom prst="rect">
                            <a:avLst/>
                          </a:prstGeom>
                        </wps:spPr>
                        <wps:style>
                          <a:lnRef idx="2">
                            <a:schemeClr val="dk1"/>
                          </a:lnRef>
                          <a:fillRef idx="1">
                            <a:schemeClr val="lt1"/>
                          </a:fillRef>
                          <a:effectRef idx="0">
                            <a:schemeClr val="dk1"/>
                          </a:effectRef>
                          <a:fontRef idx="minor">
                            <a:schemeClr val="dk1"/>
                          </a:fontRef>
                        </wps:style>
                        <wps:txbx>
                          <w:txbxContent>
                            <w:p w14:paraId="17BF11D7" w14:textId="77777777" w:rsidR="00FD53DE" w:rsidRPr="00FC19F9" w:rsidRDefault="00FD53DE" w:rsidP="00FD53DE">
                              <w:pPr>
                                <w:jc w:val="center"/>
                                <w:rPr>
                                  <w:sz w:val="20"/>
                                  <w:szCs w:val="18"/>
                                </w:rPr>
                              </w:pPr>
                              <w:r w:rsidRPr="00FC19F9">
                                <w:rPr>
                                  <w:sz w:val="20"/>
                                  <w:szCs w:val="18"/>
                                </w:rPr>
                                <w:t>Beliefs about non-adherence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038225" y="638176"/>
                            <a:ext cx="791550" cy="781051"/>
                          </a:xfrm>
                          <a:prstGeom prst="rect">
                            <a:avLst/>
                          </a:prstGeom>
                          <a:ln/>
                        </wps:spPr>
                        <wps:style>
                          <a:lnRef idx="2">
                            <a:schemeClr val="dk1"/>
                          </a:lnRef>
                          <a:fillRef idx="1">
                            <a:schemeClr val="lt1"/>
                          </a:fillRef>
                          <a:effectRef idx="0">
                            <a:schemeClr val="dk1"/>
                          </a:effectRef>
                          <a:fontRef idx="minor">
                            <a:schemeClr val="dk1"/>
                          </a:fontRef>
                        </wps:style>
                        <wps:txbx>
                          <w:txbxContent>
                            <w:p w14:paraId="0D62CA34" w14:textId="77777777" w:rsidR="00FD53DE" w:rsidRPr="00FC19F9" w:rsidRDefault="00FD53DE" w:rsidP="00FD53DE">
                              <w:pPr>
                                <w:jc w:val="center"/>
                                <w:rPr>
                                  <w:sz w:val="20"/>
                                  <w:szCs w:val="18"/>
                                </w:rPr>
                              </w:pPr>
                              <w:r w:rsidRPr="00FC19F9">
                                <w:rPr>
                                  <w:sz w:val="20"/>
                                  <w:szCs w:val="18"/>
                                </w:rPr>
                                <w:t>Attitude towards non-adherence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2132626" y="800101"/>
                            <a:ext cx="753449" cy="427990"/>
                          </a:xfrm>
                          <a:prstGeom prst="rect">
                            <a:avLst/>
                          </a:prstGeom>
                        </wps:spPr>
                        <wps:style>
                          <a:lnRef idx="2">
                            <a:schemeClr val="dk1"/>
                          </a:lnRef>
                          <a:fillRef idx="1">
                            <a:schemeClr val="lt1"/>
                          </a:fillRef>
                          <a:effectRef idx="0">
                            <a:schemeClr val="dk1"/>
                          </a:effectRef>
                          <a:fontRef idx="minor">
                            <a:schemeClr val="dk1"/>
                          </a:fontRef>
                        </wps:style>
                        <wps:txbx>
                          <w:txbxContent>
                            <w:p w14:paraId="24AE1F6B" w14:textId="77777777" w:rsidR="00FD53DE" w:rsidRDefault="00FD53DE" w:rsidP="00FD53DE">
                              <w:pPr>
                                <w:jc w:val="center"/>
                                <w:rPr>
                                  <w:rFonts w:eastAsia="Calibri"/>
                                  <w:sz w:val="20"/>
                                  <w:szCs w:val="20"/>
                                </w:rPr>
                              </w:pPr>
                              <w:r>
                                <w:rPr>
                                  <w:rFonts w:eastAsia="Calibri"/>
                                  <w:sz w:val="20"/>
                                  <w:szCs w:val="20"/>
                                </w:rPr>
                                <w:t>Normative beliefs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932725" y="800101"/>
                            <a:ext cx="762975" cy="427990"/>
                          </a:xfrm>
                          <a:prstGeom prst="rect">
                            <a:avLst/>
                          </a:prstGeom>
                        </wps:spPr>
                        <wps:style>
                          <a:lnRef idx="2">
                            <a:schemeClr val="dk1"/>
                          </a:lnRef>
                          <a:fillRef idx="1">
                            <a:schemeClr val="lt1"/>
                          </a:fillRef>
                          <a:effectRef idx="0">
                            <a:schemeClr val="dk1"/>
                          </a:effectRef>
                          <a:fontRef idx="minor">
                            <a:schemeClr val="dk1"/>
                          </a:fontRef>
                        </wps:style>
                        <wps:txbx>
                          <w:txbxContent>
                            <w:p w14:paraId="33146A9E" w14:textId="77777777" w:rsidR="00FD53DE" w:rsidRDefault="00FD53DE" w:rsidP="00FD53DE">
                              <w:pPr>
                                <w:jc w:val="center"/>
                                <w:rPr>
                                  <w:rFonts w:eastAsia="Calibri"/>
                                  <w:sz w:val="20"/>
                                  <w:szCs w:val="20"/>
                                </w:rPr>
                              </w:pPr>
                              <w:r>
                                <w:rPr>
                                  <w:rFonts w:eastAsia="Calibri"/>
                                  <w:sz w:val="20"/>
                                  <w:szCs w:val="20"/>
                                </w:rPr>
                                <w:t>Subjective beliefs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028101" y="800101"/>
                            <a:ext cx="677249" cy="427990"/>
                          </a:xfrm>
                          <a:prstGeom prst="rect">
                            <a:avLst/>
                          </a:prstGeom>
                        </wps:spPr>
                        <wps:style>
                          <a:lnRef idx="2">
                            <a:schemeClr val="dk1"/>
                          </a:lnRef>
                          <a:fillRef idx="1">
                            <a:schemeClr val="lt1"/>
                          </a:fillRef>
                          <a:effectRef idx="0">
                            <a:schemeClr val="dk1"/>
                          </a:effectRef>
                          <a:fontRef idx="minor">
                            <a:schemeClr val="dk1"/>
                          </a:fontRef>
                        </wps:style>
                        <wps:txbx>
                          <w:txbxContent>
                            <w:p w14:paraId="24C2B0F3" w14:textId="77777777" w:rsidR="00FD53DE" w:rsidRDefault="00FD53DE" w:rsidP="00FD53DE">
                              <w:pPr>
                                <w:jc w:val="center"/>
                                <w:rPr>
                                  <w:rFonts w:eastAsia="Calibri"/>
                                  <w:sz w:val="20"/>
                                  <w:szCs w:val="20"/>
                                </w:rPr>
                              </w:pPr>
                              <w:r>
                                <w:rPr>
                                  <w:rFonts w:eastAsia="Calibri"/>
                                  <w:sz w:val="20"/>
                                  <w:szCs w:val="20"/>
                                </w:rPr>
                                <w:t>Control beliefs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752000" y="704851"/>
                            <a:ext cx="782025" cy="629625"/>
                          </a:xfrm>
                          <a:prstGeom prst="rect">
                            <a:avLst/>
                          </a:prstGeom>
                        </wps:spPr>
                        <wps:style>
                          <a:lnRef idx="2">
                            <a:schemeClr val="dk1"/>
                          </a:lnRef>
                          <a:fillRef idx="1">
                            <a:schemeClr val="lt1"/>
                          </a:fillRef>
                          <a:effectRef idx="0">
                            <a:schemeClr val="dk1"/>
                          </a:effectRef>
                          <a:fontRef idx="minor">
                            <a:schemeClr val="dk1"/>
                          </a:fontRef>
                        </wps:style>
                        <wps:txbx>
                          <w:txbxContent>
                            <w:p w14:paraId="31297F1F" w14:textId="77777777" w:rsidR="00FD53DE" w:rsidRDefault="00FD53DE" w:rsidP="00FD53DE">
                              <w:pPr>
                                <w:jc w:val="center"/>
                                <w:rPr>
                                  <w:rFonts w:eastAsia="Calibri"/>
                                  <w:sz w:val="20"/>
                                  <w:szCs w:val="20"/>
                                </w:rPr>
                              </w:pPr>
                              <w:r>
                                <w:rPr>
                                  <w:rFonts w:eastAsia="Calibri"/>
                                  <w:sz w:val="20"/>
                                  <w:szCs w:val="20"/>
                                </w:rPr>
                                <w:t>Perceived behavioral control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257301" y="276226"/>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4618650" y="276226"/>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742225" y="276226"/>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257301" y="276226"/>
                            <a:ext cx="1494449"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3102905" y="276226"/>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731180" y="38101"/>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3102905" y="276226"/>
                            <a:ext cx="1515745"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5054260" y="36151"/>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731180" y="47626"/>
                            <a:ext cx="4317070"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923925" y="1038226"/>
                            <a:ext cx="2667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2818425" y="1027726"/>
                            <a:ext cx="2667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4627200" y="1027726"/>
                            <a:ext cx="2667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2286000" y="1799850"/>
                            <a:ext cx="1095375" cy="333751"/>
                          </a:xfrm>
                          <a:prstGeom prst="rect">
                            <a:avLst/>
                          </a:prstGeom>
                          <a:solidFill>
                            <a:schemeClr val="lt1"/>
                          </a:solidFill>
                          <a:ln w="6350">
                            <a:solidFill>
                              <a:prstClr val="black"/>
                            </a:solidFill>
                          </a:ln>
                        </wps:spPr>
                        <wps:txbx>
                          <w:txbxContent>
                            <w:p w14:paraId="02C39D7B" w14:textId="77777777" w:rsidR="00FD53DE" w:rsidRPr="004441FF" w:rsidRDefault="00FD53DE" w:rsidP="00FD53DE">
                              <w:pPr>
                                <w:jc w:val="center"/>
                                <w:rPr>
                                  <w:b/>
                                  <w:bCs/>
                                  <w:sz w:val="22"/>
                                  <w:szCs w:val="20"/>
                                </w:rPr>
                              </w:pPr>
                              <w:r w:rsidRPr="004441FF">
                                <w:rPr>
                                  <w:b/>
                                  <w:bCs/>
                                  <w:sz w:val="22"/>
                                  <w:szCs w:val="20"/>
                                </w:rPr>
                                <w:t>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5"/>
                        <wps:cNvSpPr txBox="1"/>
                        <wps:spPr>
                          <a:xfrm>
                            <a:off x="2333625" y="2609850"/>
                            <a:ext cx="1047750" cy="293129"/>
                          </a:xfrm>
                          <a:prstGeom prst="rect">
                            <a:avLst/>
                          </a:prstGeom>
                          <a:solidFill>
                            <a:schemeClr val="lt1"/>
                          </a:solidFill>
                          <a:ln w="6350">
                            <a:solidFill>
                              <a:prstClr val="black"/>
                            </a:solidFill>
                          </a:ln>
                        </wps:spPr>
                        <wps:txbx>
                          <w:txbxContent>
                            <w:p w14:paraId="4CF94090" w14:textId="77777777" w:rsidR="00FD53DE" w:rsidRPr="004441FF" w:rsidRDefault="00FD53DE" w:rsidP="00FD53DE">
                              <w:pPr>
                                <w:jc w:val="center"/>
                                <w:rPr>
                                  <w:rFonts w:eastAsia="Calibri"/>
                                  <w:b/>
                                  <w:bCs/>
                                  <w:sz w:val="22"/>
                                </w:rPr>
                              </w:pPr>
                              <w:r w:rsidRPr="004441FF">
                                <w:rPr>
                                  <w:rFonts w:eastAsia="Calibri"/>
                                  <w:b/>
                                  <w:bCs/>
                                  <w:sz w:val="22"/>
                                  <w:szCs w:val="20"/>
                                </w:rPr>
                                <w:t>Behavior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Straight Connector 27"/>
                        <wps:cNvCnPr>
                          <a:stCxn id="3" idx="2"/>
                        </wps:cNvCnPr>
                        <wps:spPr>
                          <a:xfrm>
                            <a:off x="1434000" y="1419227"/>
                            <a:ext cx="0" cy="523874"/>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a:stCxn id="5" idx="2"/>
                        </wps:cNvCnPr>
                        <wps:spPr>
                          <a:xfrm>
                            <a:off x="3314213" y="1228091"/>
                            <a:ext cx="0" cy="572135"/>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4952513" y="1324951"/>
                            <a:ext cx="0" cy="589575"/>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427776" y="1943101"/>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a:off x="3362325" y="1905001"/>
                            <a:ext cx="1590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ext Box 32"/>
                        <wps:cNvSpPr txBox="1"/>
                        <wps:spPr>
                          <a:xfrm>
                            <a:off x="4667250" y="2371725"/>
                            <a:ext cx="914400" cy="657225"/>
                          </a:xfrm>
                          <a:prstGeom prst="rect">
                            <a:avLst/>
                          </a:prstGeom>
                          <a:solidFill>
                            <a:schemeClr val="lt1"/>
                          </a:solidFill>
                          <a:ln w="6350">
                            <a:solidFill>
                              <a:prstClr val="black"/>
                            </a:solidFill>
                          </a:ln>
                        </wps:spPr>
                        <wps:txbx>
                          <w:txbxContent>
                            <w:p w14:paraId="453DF276" w14:textId="77777777" w:rsidR="00FD53DE" w:rsidRPr="004441FF" w:rsidRDefault="00FD53DE" w:rsidP="00FD53DE">
                              <w:pPr>
                                <w:jc w:val="center"/>
                                <w:rPr>
                                  <w:b/>
                                  <w:bCs/>
                                  <w:sz w:val="22"/>
                                  <w:szCs w:val="20"/>
                                </w:rPr>
                              </w:pPr>
                              <w:r w:rsidRPr="004441FF">
                                <w:rPr>
                                  <w:b/>
                                  <w:bCs/>
                                  <w:sz w:val="22"/>
                                  <w:szCs w:val="20"/>
                                </w:rPr>
                                <w:t>Actual Behavior</w:t>
                              </w:r>
                              <w:r>
                                <w:rPr>
                                  <w:b/>
                                  <w:bCs/>
                                  <w:sz w:val="22"/>
                                  <w:szCs w:val="20"/>
                                </w:rPr>
                                <w:t>al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Arrow Connector 33"/>
                        <wps:cNvCnPr/>
                        <wps:spPr>
                          <a:xfrm flipV="1">
                            <a:off x="5457825" y="1334475"/>
                            <a:ext cx="0" cy="1046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H="1">
                            <a:off x="3381375" y="2837960"/>
                            <a:ext cx="12858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flipH="1">
                            <a:off x="3390901" y="2675985"/>
                            <a:ext cx="714374"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4105275" y="2134246"/>
                            <a:ext cx="0" cy="541739"/>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4105275" y="2134237"/>
                            <a:ext cx="109537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5210175" y="1333902"/>
                            <a:ext cx="0" cy="799896"/>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7001754" id="Canvas 1" o:spid="_x0000_s1026" editas="canvas" style="width:454.5pt;height:242.25pt;mso-position-horizontal-relative:char;mso-position-vertical-relative:line" coordsize="57721,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721;height:30765;visibility:visible;mso-wrap-style:square" filled="t">
                  <v:fill o:detectmouseclick="t"/>
                  <v:path o:connecttype="none"/>
                </v:shape>
                <v:roundrect id="Rectangle: Rounded Corners 13" o:spid="_x0000_s1028" style="position:absolute;left:20278;top:5905;width:17441;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" fillcolor="#5b9bd5 [3208]" strokecolor="black [3200]" strokeweight=".5pt">
                  <v:stroke joinstyle="miter"/>
                </v:roundrect>
                <v:roundrect id="Rectangle: Rounded Corners 14" o:spid="_x0000_s1029" style="position:absolute;left:39052;top:5905;width:17431;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" fillcolor="#5b9bd5 [3208]" strokecolor="black [3200]" strokeweight=".5pt">
                  <v:stroke joinstyle="miter"/>
                </v:roundrect>
                <v:roundrect id="Rectangle: Rounded Corners 12" o:spid="_x0000_s1030" style="position:absolute;left:1238;top:5905;width:1828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" fillcolor="#5b9bd5 [3208]" strokecolor="black [3213]" strokeweight=".5pt">
                  <v:stroke joinstyle="miter"/>
                </v:roundrect>
                <v:rect id="Rectangle 2" o:spid="_x0000_s1031" style="position:absolute;left:2190;top:7334;width:771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17BF11D7" w14:textId="77777777" w:rsidR="00FD53DE" w:rsidRPr="00FC19F9" w:rsidRDefault="00FD53DE" w:rsidP="00FD53DE">
                        <w:pPr>
                          <w:jc w:val="center"/>
                          <w:rPr>
                            <w:sz w:val="20"/>
                            <w:szCs w:val="18"/>
                          </w:rPr>
                        </w:pPr>
                        <w:r w:rsidRPr="00FC19F9">
                          <w:rPr>
                            <w:sz w:val="20"/>
                            <w:szCs w:val="18"/>
                          </w:rPr>
                          <w:t>Beliefs about non-adherence</w:t>
                        </w:r>
                      </w:p>
                    </w:txbxContent>
                  </v:textbox>
                </v:rect>
                <v:shapetype id="_x0000_t202" coordsize="21600,21600" o:spt="202" path="m,l,21600r21600,l21600,xe">
                  <v:stroke joinstyle="miter"/>
                  <v:path gradientshapeok="t" o:connecttype="rect"/>
                </v:shapetype>
                <v:shape id="Text Box 3" o:spid="_x0000_s1032" type="#_x0000_t202" style="position:absolute;left:10382;top:6381;width:7915;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" fillcolor="white [3201]" strokecolor="black [3200]" strokeweight="1pt">
                  <v:textbox>
                    <w:txbxContent>
                      <w:p w14:paraId="0D62CA34" w14:textId="77777777" w:rsidR="00FD53DE" w:rsidRPr="00FC19F9" w:rsidRDefault="00FD53DE" w:rsidP="00FD53DE">
                        <w:pPr>
                          <w:jc w:val="center"/>
                          <w:rPr>
                            <w:sz w:val="20"/>
                            <w:szCs w:val="18"/>
                          </w:rPr>
                        </w:pPr>
                        <w:r w:rsidRPr="00FC19F9">
                          <w:rPr>
                            <w:sz w:val="20"/>
                            <w:szCs w:val="18"/>
                          </w:rPr>
                          <w:t>Attitude towards non-adherence</w:t>
                        </w:r>
                      </w:p>
                    </w:txbxContent>
                  </v:textbox>
                </v:shape>
                <v:rect id="Rectangle 4" o:spid="_x0000_s1033" style="position:absolute;left:21326;top:8001;width:7534;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24AE1F6B" w14:textId="77777777" w:rsidR="00FD53DE" w:rsidRDefault="00FD53DE" w:rsidP="00FD53DE">
                        <w:pPr>
                          <w:jc w:val="center"/>
                          <w:rPr>
                            <w:rFonts w:eastAsia="Calibri"/>
                            <w:sz w:val="20"/>
                            <w:szCs w:val="20"/>
                          </w:rPr>
                        </w:pPr>
                        <w:r>
                          <w:rPr>
                            <w:rFonts w:eastAsia="Calibri"/>
                            <w:sz w:val="20"/>
                            <w:szCs w:val="20"/>
                          </w:rPr>
                          <w:t>Normative beliefs</w:t>
                        </w:r>
                      </w:p>
                    </w:txbxContent>
                  </v:textbox>
                </v:rect>
                <v:rect id="Rectangle 5" o:spid="_x0000_s1034" style="position:absolute;left:29327;top:8001;width:7630;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3146A9E" w14:textId="77777777" w:rsidR="00FD53DE" w:rsidRDefault="00FD53DE" w:rsidP="00FD53DE">
                        <w:pPr>
                          <w:jc w:val="center"/>
                          <w:rPr>
                            <w:rFonts w:eastAsia="Calibri"/>
                            <w:sz w:val="20"/>
                            <w:szCs w:val="20"/>
                          </w:rPr>
                        </w:pPr>
                        <w:r>
                          <w:rPr>
                            <w:rFonts w:eastAsia="Calibri"/>
                            <w:sz w:val="20"/>
                            <w:szCs w:val="20"/>
                          </w:rPr>
                          <w:t>Subjective beliefs</w:t>
                        </w:r>
                      </w:p>
                    </w:txbxContent>
                  </v:textbox>
                </v:rect>
                <v:rect id="Rectangle 8" o:spid="_x0000_s1035" style="position:absolute;left:40281;top:8001;width:6772;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24C2B0F3" w14:textId="77777777" w:rsidR="00FD53DE" w:rsidRDefault="00FD53DE" w:rsidP="00FD53DE">
                        <w:pPr>
                          <w:jc w:val="center"/>
                          <w:rPr>
                            <w:rFonts w:eastAsia="Calibri"/>
                            <w:sz w:val="20"/>
                            <w:szCs w:val="20"/>
                          </w:rPr>
                        </w:pPr>
                        <w:r>
                          <w:rPr>
                            <w:rFonts w:eastAsia="Calibri"/>
                            <w:sz w:val="20"/>
                            <w:szCs w:val="20"/>
                          </w:rPr>
                          <w:t>Control beliefs</w:t>
                        </w:r>
                      </w:p>
                    </w:txbxContent>
                  </v:textbox>
                </v:rect>
                <v:rect id="Rectangle 9" o:spid="_x0000_s1036" style="position:absolute;left:47520;top:7048;width:7820;height:6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31297F1F" w14:textId="77777777" w:rsidR="00FD53DE" w:rsidRDefault="00FD53DE" w:rsidP="00FD53DE">
                        <w:pPr>
                          <w:jc w:val="center"/>
                          <w:rPr>
                            <w:rFonts w:eastAsia="Calibri"/>
                            <w:sz w:val="20"/>
                            <w:szCs w:val="20"/>
                          </w:rPr>
                        </w:pPr>
                        <w:r>
                          <w:rPr>
                            <w:rFonts w:eastAsia="Calibri"/>
                            <w:sz w:val="20"/>
                            <w:szCs w:val="20"/>
                          </w:rPr>
                          <w:t>Perceived behavioral control</w:t>
                        </w:r>
                      </w:p>
                    </w:txbxContent>
                  </v:textbox>
                </v:rect>
                <v:shapetype id="_x0000_t32" coordsize="21600,21600" o:spt="32" o:oned="t" path="m,l21600,21600e" filled="f">
                  <v:path arrowok="t" fillok="f" o:connecttype="none"/>
                  <o:lock v:ext="edit" shapetype="t"/>
                </v:shapetype>
                <v:shape id="Straight Arrow Connector 7" o:spid="_x0000_s1037" type="#_x0000_t32" style="position:absolute;left:12573;top:276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Straight Arrow Connector 10" o:spid="_x0000_s1038" type="#_x0000_t32" style="position:absolute;left:46186;top:276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Straight Arrow Connector 11" o:spid="_x0000_s1039" type="#_x0000_t32" style="position:absolute;left:27422;top:276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line id="Straight Connector 15" o:spid="_x0000_s1040" style="position:absolute;visibility:visible;mso-wrap-style:square" from="12573,2762" to="27517,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shape id="Straight Arrow Connector 16" o:spid="_x0000_s1041" type="#_x0000_t32" style="position:absolute;left:31029;top:276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Straight Arrow Connector 18" o:spid="_x0000_s1042" type="#_x0000_t32" style="position:absolute;left:7311;top:381;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line id="Straight Connector 19" o:spid="_x0000_s1043" style="position:absolute;visibility:visible;mso-wrap-style:square" from="31029,2762" to="4618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shape id="Straight Arrow Connector 20" o:spid="_x0000_s1044" type="#_x0000_t32" style="position:absolute;left:50542;top:361;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line id="Straight Connector 21" o:spid="_x0000_s1045" style="position:absolute;visibility:visible;mso-wrap-style:square" from="7311,476" to="5048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shape id="Straight Arrow Connector 22" o:spid="_x0000_s1046" type="#_x0000_t32" style="position:absolute;left:9239;top:10382;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" strokecolor="black [3200]" strokeweight="3pt">
                  <v:stroke endarrow="block" joinstyle="miter"/>
                </v:shape>
                <v:shape id="Straight Arrow Connector 23" o:spid="_x0000_s1047" type="#_x0000_t32" style="position:absolute;left:28184;top:10277;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" strokecolor="black [3200]" strokeweight="3pt">
                  <v:stroke endarrow="block" joinstyle="miter"/>
                </v:shape>
                <v:shape id="Straight Arrow Connector 24" o:spid="_x0000_s1048" type="#_x0000_t32" style="position:absolute;left:46272;top:10277;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" strokecolor="black [3200]" strokeweight="3pt">
                  <v:stroke endarrow="block" joinstyle="miter"/>
                </v:shape>
                <v:shape id="Text Box 25" o:spid="_x0000_s1049" type="#_x0000_t202" style="position:absolute;left:22860;top:17998;width:10953;height: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02C39D7B" w14:textId="77777777" w:rsidR="00FD53DE" w:rsidRPr="004441FF" w:rsidRDefault="00FD53DE" w:rsidP="00FD53DE">
                        <w:pPr>
                          <w:jc w:val="center"/>
                          <w:rPr>
                            <w:b/>
                            <w:bCs/>
                            <w:sz w:val="22"/>
                            <w:szCs w:val="20"/>
                          </w:rPr>
                        </w:pPr>
                        <w:r w:rsidRPr="004441FF">
                          <w:rPr>
                            <w:b/>
                            <w:bCs/>
                            <w:sz w:val="22"/>
                            <w:szCs w:val="20"/>
                          </w:rPr>
                          <w:t>Intention</w:t>
                        </w:r>
                      </w:p>
                    </w:txbxContent>
                  </v:textbox>
                </v:shape>
                <v:shape id="Text Box 25" o:spid="_x0000_s1050" type="#_x0000_t202" style="position:absolute;left:23336;top:26098;width:10477;height:2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4CF94090" w14:textId="77777777" w:rsidR="00FD53DE" w:rsidRPr="004441FF" w:rsidRDefault="00FD53DE" w:rsidP="00FD53DE">
                        <w:pPr>
                          <w:jc w:val="center"/>
                          <w:rPr>
                            <w:rFonts w:eastAsia="Calibri"/>
                            <w:b/>
                            <w:bCs/>
                            <w:sz w:val="22"/>
                          </w:rPr>
                        </w:pPr>
                        <w:r w:rsidRPr="004441FF">
                          <w:rPr>
                            <w:rFonts w:eastAsia="Calibri"/>
                            <w:b/>
                            <w:bCs/>
                            <w:sz w:val="22"/>
                            <w:szCs w:val="20"/>
                          </w:rPr>
                          <w:t>Behavior</w:t>
                        </w:r>
                      </w:p>
                    </w:txbxContent>
                  </v:textbox>
                </v:shape>
                <v:line id="Straight Connector 27" o:spid="_x0000_s1051" style="position:absolute;visibility:visible;mso-wrap-style:square" from="14340,14192" to="1434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line id="Straight Connector 28" o:spid="_x0000_s1052" style="position:absolute;visibility:visible;mso-wrap-style:square" from="33142,12280" to="33142,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" strokecolor="black [3200]" strokeweight=".5pt">
                  <v:stroke endarrow="block" joinstyle="miter"/>
                </v:line>
                <v:line id="Straight Connector 29" o:spid="_x0000_s1053" style="position:absolute;visibility:visible;mso-wrap-style:square" from="49525,13249" to="49525,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shape id="Straight Arrow Connector 30" o:spid="_x0000_s1054" type="#_x0000_t32" style="position:absolute;left:14277;top:19431;width:8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Straight Arrow Connector 31" o:spid="_x0000_s1055" type="#_x0000_t32" style="position:absolute;left:33623;top:19050;width:15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" strokecolor="black [3200]" strokeweight=".5pt">
                  <v:stroke endarrow="block" joinstyle="miter"/>
                </v:shape>
                <v:shape id="Text Box 32" o:spid="_x0000_s1056" type="#_x0000_t202" style="position:absolute;left:46672;top:23717;width:914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453DF276" w14:textId="77777777" w:rsidR="00FD53DE" w:rsidRPr="004441FF" w:rsidRDefault="00FD53DE" w:rsidP="00FD53DE">
                        <w:pPr>
                          <w:jc w:val="center"/>
                          <w:rPr>
                            <w:b/>
                            <w:bCs/>
                            <w:sz w:val="22"/>
                            <w:szCs w:val="20"/>
                          </w:rPr>
                        </w:pPr>
                        <w:r w:rsidRPr="004441FF">
                          <w:rPr>
                            <w:b/>
                            <w:bCs/>
                            <w:sz w:val="22"/>
                            <w:szCs w:val="20"/>
                          </w:rPr>
                          <w:t>Actual Behavior</w:t>
                        </w:r>
                        <w:r>
                          <w:rPr>
                            <w:b/>
                            <w:bCs/>
                            <w:sz w:val="22"/>
                            <w:szCs w:val="20"/>
                          </w:rPr>
                          <w:t>al Control</w:t>
                        </w:r>
                      </w:p>
                    </w:txbxContent>
                  </v:textbox>
                </v:shape>
                <v:shape id="Straight Arrow Connector 33" o:spid="_x0000_s1057" type="#_x0000_t32" style="position:absolute;left:54578;top:13344;width:0;height:10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" strokecolor="black [3200]" strokeweight=".5pt">
                  <v:stroke endarrow="block" joinstyle="miter"/>
                </v:shape>
                <v:shape id="Straight Arrow Connector 34" o:spid="_x0000_s1058" type="#_x0000_t32" style="position:absolute;left:33813;top:28379;width:128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shape id="Straight Arrow Connector 35" o:spid="_x0000_s1059" type="#_x0000_t32" style="position:absolute;left:33909;top:26759;width:71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" strokecolor="black [3200]" strokeweight=".5pt">
                  <v:stroke dashstyle="longDash" endarrow="block" joinstyle="miter"/>
                </v:shape>
                <v:line id="Straight Connector 36" o:spid="_x0000_s1060" style="position:absolute;flip:y;visibility:visible;mso-wrap-style:square" from="41052,21342" to="41052,26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" strokecolor="black [3200]" strokeweight=".5pt">
                  <v:stroke dashstyle="longDash" joinstyle="miter"/>
                </v:line>
                <v:line id="Straight Connector 37" o:spid="_x0000_s1061" style="position:absolute;visibility:visible;mso-wrap-style:square" from="41052,21342" to="52006,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" strokecolor="black [3200]" strokeweight=".5pt">
                  <v:stroke dashstyle="longDash" joinstyle="miter"/>
                </v:line>
                <v:line id="Straight Connector 38" o:spid="_x0000_s1062" style="position:absolute;visibility:visible;mso-wrap-style:square" from="52101,13339" to="52101,2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" strokecolor="black [3200]" strokeweight=".5pt">
                  <v:stroke dashstyle="longDash" joinstyle="miter"/>
                </v:line>
                <w10:anchorlock/>
              </v:group>
            </w:pict>
          </mc:Fallback>
        </mc:AlternateContent>
      </w:r>
    </w:p>
    <w:p w14:paraId="495F2F4F" w14:textId="77777777" w:rsidR="00FD53DE" w:rsidRPr="00093A3D" w:rsidRDefault="00FD53DE" w:rsidP="00FD53DE">
      <w:pPr>
        <w:pStyle w:val="Caption"/>
        <w:spacing w:after="0" w:line="480" w:lineRule="auto"/>
        <w:rPr>
          <w:rFonts w:cs="Times New Roman"/>
          <w:color w:val="auto"/>
          <w:sz w:val="24"/>
          <w:szCs w:val="24"/>
        </w:rPr>
      </w:pPr>
      <w:r w:rsidRPr="00093A3D">
        <w:rPr>
          <w:rFonts w:cs="Times New Roman"/>
          <w:b/>
          <w:bCs/>
          <w:color w:val="auto"/>
          <w:sz w:val="24"/>
          <w:szCs w:val="24"/>
        </w:rPr>
        <w:t xml:space="preserve">Figure </w:t>
      </w:r>
      <w:r w:rsidRPr="00093A3D">
        <w:rPr>
          <w:rFonts w:cs="Times New Roman"/>
          <w:b/>
          <w:bCs/>
          <w:color w:val="auto"/>
          <w:sz w:val="24"/>
          <w:szCs w:val="24"/>
        </w:rPr>
        <w:fldChar w:fldCharType="begin"/>
      </w:r>
      <w:r w:rsidRPr="00093A3D">
        <w:rPr>
          <w:rFonts w:cs="Times New Roman"/>
          <w:b/>
          <w:bCs/>
          <w:color w:val="auto"/>
          <w:sz w:val="24"/>
          <w:szCs w:val="24"/>
        </w:rPr>
        <w:instrText xml:space="preserve"> SEQ Figure \* ARABIC </w:instrText>
      </w:r>
      <w:r w:rsidRPr="00093A3D">
        <w:rPr>
          <w:rFonts w:cs="Times New Roman"/>
          <w:b/>
          <w:bCs/>
          <w:color w:val="auto"/>
          <w:sz w:val="24"/>
          <w:szCs w:val="24"/>
        </w:rPr>
        <w:fldChar w:fldCharType="separate"/>
      </w:r>
      <w:r>
        <w:rPr>
          <w:rFonts w:cs="Times New Roman"/>
          <w:b/>
          <w:bCs/>
          <w:noProof/>
          <w:color w:val="auto"/>
          <w:sz w:val="24"/>
          <w:szCs w:val="24"/>
        </w:rPr>
        <w:t>1</w:t>
      </w:r>
      <w:r w:rsidRPr="00093A3D">
        <w:rPr>
          <w:rFonts w:cs="Times New Roman"/>
          <w:b/>
          <w:bCs/>
          <w:color w:val="auto"/>
          <w:sz w:val="24"/>
          <w:szCs w:val="24"/>
        </w:rPr>
        <w:fldChar w:fldCharType="end"/>
      </w:r>
      <w:r w:rsidRPr="00093A3D">
        <w:rPr>
          <w:rFonts w:cs="Times New Roman"/>
          <w:b/>
          <w:bCs/>
          <w:color w:val="auto"/>
          <w:sz w:val="24"/>
          <w:szCs w:val="24"/>
        </w:rPr>
        <w:t>:</w:t>
      </w:r>
      <w:r w:rsidRPr="00093A3D">
        <w:rPr>
          <w:rFonts w:cs="Times New Roman"/>
          <w:color w:val="auto"/>
          <w:sz w:val="24"/>
          <w:szCs w:val="24"/>
        </w:rPr>
        <w:t xml:space="preserve"> The construct of the Theory of Planned Behavior (LaMorte, 2019)</w:t>
      </w:r>
    </w:p>
    <w:p w14:paraId="63A6D392" w14:textId="77777777" w:rsidR="00FD53DE" w:rsidRPr="00093A3D" w:rsidRDefault="00FD53DE" w:rsidP="00FD53DE">
      <w:pPr>
        <w:spacing w:after="0" w:line="480" w:lineRule="auto"/>
        <w:rPr>
          <w:rFonts w:cs="Times New Roman"/>
          <w:szCs w:val="24"/>
        </w:rPr>
      </w:pPr>
      <w:r w:rsidRPr="00093A3D">
        <w:rPr>
          <w:rFonts w:cs="Times New Roman"/>
          <w:szCs w:val="24"/>
        </w:rPr>
        <w:t xml:space="preserve">TPB is suitable for use in the current study because of its ability to explain and predict a wide range of health behaviors, and in the context of the current study, non-adherence to medication. Through this theory, it may be suggested that adherence to medication, or lack thereof, is influenced by the patient’s personal-related factors, social and economic factors, health system factors, and treatment-related factors. </w:t>
      </w:r>
    </w:p>
    <w:p w14:paraId="120F7B22" w14:textId="77777777" w:rsidR="00FD53DE" w:rsidRPr="00093A3D" w:rsidRDefault="00FD53DE" w:rsidP="00FD53DE">
      <w:pPr>
        <w:spacing w:after="0" w:line="480" w:lineRule="auto"/>
        <w:rPr>
          <w:rFonts w:cs="Times New Roman"/>
          <w:b/>
          <w:bCs/>
          <w:szCs w:val="24"/>
        </w:rPr>
      </w:pPr>
      <w:r w:rsidRPr="00093A3D">
        <w:rPr>
          <w:rFonts w:cs="Times New Roman"/>
          <w:b/>
          <w:bCs/>
          <w:szCs w:val="24"/>
        </w:rPr>
        <w:t>The Precaution Adoption Process Model</w:t>
      </w:r>
    </w:p>
    <w:p w14:paraId="76F37AD3" w14:textId="77777777" w:rsidR="00FD53DE" w:rsidRPr="00093A3D" w:rsidRDefault="00FD53DE" w:rsidP="00FD53DE">
      <w:pPr>
        <w:spacing w:after="0" w:line="480" w:lineRule="auto"/>
        <w:ind w:firstLine="720"/>
        <w:rPr>
          <w:rFonts w:cs="Times New Roman"/>
          <w:szCs w:val="24"/>
        </w:rPr>
      </w:pPr>
      <w:r w:rsidRPr="00093A3D">
        <w:rPr>
          <w:rFonts w:cs="Times New Roman"/>
          <w:szCs w:val="24"/>
        </w:rPr>
        <w:t xml:space="preserve">The PAPM is a psychological model that attempts to explain how a person comes to a decision to act and how they translate that decision into action (Weinstein et al., 2008). The model proposes that individuals learn to adopt a new precaution or cease a risky behavior through deliberate psychological steps, which lead them to change their health behaviors. The </w:t>
      </w:r>
      <w:r w:rsidRPr="00093A3D">
        <w:rPr>
          <w:rFonts w:cs="Times New Roman"/>
          <w:szCs w:val="24"/>
        </w:rPr>
        <w:lastRenderedPageBreak/>
        <w:t>steps/stages are seven and define the psychological processes, i.e., mental states rather than factors occurring outside the person such as past or current behaviors.</w:t>
      </w:r>
    </w:p>
    <w:p w14:paraId="75BBE8AF" w14:textId="77777777" w:rsidR="00FD53DE" w:rsidRPr="00093A3D" w:rsidRDefault="00FD53DE" w:rsidP="00FD53DE">
      <w:pPr>
        <w:keepNext/>
        <w:spacing w:after="0" w:line="480" w:lineRule="auto"/>
        <w:rPr>
          <w:rFonts w:cs="Times New Roman"/>
          <w:szCs w:val="24"/>
        </w:rPr>
      </w:pPr>
      <w:r w:rsidRPr="00093A3D">
        <w:rPr>
          <w:rFonts w:cs="Times New Roman"/>
          <w:noProof/>
          <w:szCs w:val="24"/>
        </w:rPr>
        <mc:AlternateContent>
          <mc:Choice Requires="wpc">
            <w:drawing>
              <wp:inline distT="0" distB="0" distL="0" distR="0" wp14:anchorId="6EB56564" wp14:editId="3FFF904F">
                <wp:extent cx="5781675" cy="1524000"/>
                <wp:effectExtent l="0" t="0" r="9525"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0" name="Text Box 40"/>
                        <wps:cNvSpPr txBox="1"/>
                        <wps:spPr>
                          <a:xfrm>
                            <a:off x="76202" y="76200"/>
                            <a:ext cx="809624" cy="581025"/>
                          </a:xfrm>
                          <a:prstGeom prst="rect">
                            <a:avLst/>
                          </a:prstGeom>
                          <a:solidFill>
                            <a:schemeClr val="lt1"/>
                          </a:solidFill>
                          <a:ln w="6350">
                            <a:solidFill>
                              <a:prstClr val="black"/>
                            </a:solidFill>
                          </a:ln>
                        </wps:spPr>
                        <wps:txbx>
                          <w:txbxContent>
                            <w:p w14:paraId="275CFD2A" w14:textId="77777777" w:rsidR="00FD53DE" w:rsidRPr="00944DE5" w:rsidRDefault="00FD53DE" w:rsidP="00FD53DE">
                              <w:pPr>
                                <w:spacing w:after="0" w:line="240" w:lineRule="auto"/>
                                <w:jc w:val="center"/>
                                <w:rPr>
                                  <w:b/>
                                  <w:bCs/>
                                  <w:sz w:val="20"/>
                                  <w:szCs w:val="18"/>
                                </w:rPr>
                              </w:pPr>
                              <w:r w:rsidRPr="00944DE5">
                                <w:rPr>
                                  <w:b/>
                                  <w:bCs/>
                                  <w:sz w:val="20"/>
                                  <w:szCs w:val="18"/>
                                </w:rPr>
                                <w:t>Stage 1</w:t>
                              </w:r>
                            </w:p>
                            <w:p w14:paraId="35690867" w14:textId="77777777" w:rsidR="00FD53DE" w:rsidRPr="008861DE" w:rsidRDefault="00FD53DE" w:rsidP="00FD53DE">
                              <w:pPr>
                                <w:spacing w:line="240" w:lineRule="auto"/>
                                <w:jc w:val="center"/>
                                <w:rPr>
                                  <w:sz w:val="20"/>
                                  <w:szCs w:val="18"/>
                                </w:rPr>
                              </w:pPr>
                              <w:r w:rsidRPr="008861DE">
                                <w:rPr>
                                  <w:sz w:val="20"/>
                                  <w:szCs w:val="18"/>
                                </w:rPr>
                                <w:t>Unaware of health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0"/>
                        <wps:cNvSpPr txBox="1"/>
                        <wps:spPr>
                          <a:xfrm>
                            <a:off x="999149" y="76200"/>
                            <a:ext cx="895349" cy="581025"/>
                          </a:xfrm>
                          <a:prstGeom prst="rect">
                            <a:avLst/>
                          </a:prstGeom>
                          <a:solidFill>
                            <a:schemeClr val="lt1"/>
                          </a:solidFill>
                          <a:ln w="6350">
                            <a:solidFill>
                              <a:prstClr val="black"/>
                            </a:solidFill>
                          </a:ln>
                        </wps:spPr>
                        <wps:txbx>
                          <w:txbxContent>
                            <w:p w14:paraId="1978A3D1"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2</w:t>
                              </w:r>
                            </w:p>
                            <w:p w14:paraId="44313AAE" w14:textId="77777777" w:rsidR="00FD53DE" w:rsidRDefault="00FD53DE" w:rsidP="00FD53DE">
                              <w:pPr>
                                <w:jc w:val="center"/>
                                <w:rPr>
                                  <w:rFonts w:eastAsia="Calibri"/>
                                  <w:sz w:val="20"/>
                                  <w:szCs w:val="20"/>
                                </w:rPr>
                              </w:pPr>
                              <w:r>
                                <w:rPr>
                                  <w:rFonts w:eastAsia="Calibri"/>
                                  <w:sz w:val="20"/>
                                  <w:szCs w:val="20"/>
                                </w:rPr>
                                <w:t>Unengaged by health risk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40"/>
                        <wps:cNvSpPr txBox="1"/>
                        <wps:spPr>
                          <a:xfrm>
                            <a:off x="2018325" y="65700"/>
                            <a:ext cx="867750" cy="581025"/>
                          </a:xfrm>
                          <a:prstGeom prst="rect">
                            <a:avLst/>
                          </a:prstGeom>
                          <a:solidFill>
                            <a:schemeClr val="lt1"/>
                          </a:solidFill>
                          <a:ln w="6350">
                            <a:solidFill>
                              <a:prstClr val="black"/>
                            </a:solidFill>
                          </a:ln>
                        </wps:spPr>
                        <wps:txbx>
                          <w:txbxContent>
                            <w:p w14:paraId="659A8142"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3</w:t>
                              </w:r>
                            </w:p>
                            <w:p w14:paraId="735DACF2" w14:textId="77777777" w:rsidR="00FD53DE" w:rsidRDefault="00FD53DE" w:rsidP="00FD53DE">
                              <w:pPr>
                                <w:jc w:val="center"/>
                                <w:rPr>
                                  <w:rFonts w:eastAsia="Calibri"/>
                                  <w:sz w:val="20"/>
                                  <w:szCs w:val="20"/>
                                </w:rPr>
                              </w:pPr>
                              <w:r>
                                <w:rPr>
                                  <w:rFonts w:eastAsia="Calibri"/>
                                  <w:sz w:val="20"/>
                                  <w:szCs w:val="20"/>
                                </w:rPr>
                                <w:t>Undecided about acting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40"/>
                        <wps:cNvSpPr txBox="1"/>
                        <wps:spPr>
                          <a:xfrm>
                            <a:off x="3008925" y="65700"/>
                            <a:ext cx="848700" cy="581025"/>
                          </a:xfrm>
                          <a:prstGeom prst="rect">
                            <a:avLst/>
                          </a:prstGeom>
                          <a:solidFill>
                            <a:schemeClr val="lt1"/>
                          </a:solidFill>
                          <a:ln w="6350">
                            <a:solidFill>
                              <a:prstClr val="black"/>
                            </a:solidFill>
                          </a:ln>
                        </wps:spPr>
                        <wps:txbx>
                          <w:txbxContent>
                            <w:p w14:paraId="5B1E8183"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5</w:t>
                              </w:r>
                            </w:p>
                            <w:p w14:paraId="3C5B5AD4" w14:textId="77777777" w:rsidR="00FD53DE" w:rsidRDefault="00FD53DE" w:rsidP="00FD53DE">
                              <w:pPr>
                                <w:jc w:val="center"/>
                                <w:rPr>
                                  <w:rFonts w:eastAsia="Calibri"/>
                                  <w:sz w:val="20"/>
                                  <w:szCs w:val="20"/>
                                </w:rPr>
                              </w:pPr>
                              <w:r>
                                <w:rPr>
                                  <w:rFonts w:eastAsia="Calibri"/>
                                  <w:sz w:val="20"/>
                                  <w:szCs w:val="20"/>
                                </w:rPr>
                                <w:t>Decided about acting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40"/>
                        <wps:cNvSpPr txBox="1"/>
                        <wps:spPr>
                          <a:xfrm>
                            <a:off x="3980476" y="65700"/>
                            <a:ext cx="601050" cy="581025"/>
                          </a:xfrm>
                          <a:prstGeom prst="rect">
                            <a:avLst/>
                          </a:prstGeom>
                          <a:solidFill>
                            <a:schemeClr val="lt1"/>
                          </a:solidFill>
                          <a:ln w="6350">
                            <a:solidFill>
                              <a:prstClr val="black"/>
                            </a:solidFill>
                          </a:ln>
                        </wps:spPr>
                        <wps:txbx>
                          <w:txbxContent>
                            <w:p w14:paraId="12B56DBF"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6</w:t>
                              </w:r>
                            </w:p>
                            <w:p w14:paraId="553FEC3C" w14:textId="77777777" w:rsidR="00FD53DE" w:rsidRDefault="00FD53DE" w:rsidP="00FD53DE">
                              <w:pPr>
                                <w:jc w:val="center"/>
                                <w:rPr>
                                  <w:rFonts w:eastAsia="Calibri"/>
                                  <w:sz w:val="20"/>
                                  <w:szCs w:val="20"/>
                                </w:rPr>
                              </w:pPr>
                              <w:r>
                                <w:rPr>
                                  <w:rFonts w:eastAsia="Calibri"/>
                                  <w:sz w:val="20"/>
                                  <w:szCs w:val="20"/>
                                </w:rPr>
                                <w:t>Acting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40"/>
                        <wps:cNvSpPr txBox="1"/>
                        <wps:spPr>
                          <a:xfrm>
                            <a:off x="4704374" y="65700"/>
                            <a:ext cx="886801" cy="581025"/>
                          </a:xfrm>
                          <a:prstGeom prst="rect">
                            <a:avLst/>
                          </a:prstGeom>
                          <a:solidFill>
                            <a:schemeClr val="lt1"/>
                          </a:solidFill>
                          <a:ln w="6350">
                            <a:solidFill>
                              <a:prstClr val="black"/>
                            </a:solidFill>
                          </a:ln>
                        </wps:spPr>
                        <wps:txbx>
                          <w:txbxContent>
                            <w:p w14:paraId="6869F7D8"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7</w:t>
                              </w:r>
                            </w:p>
                            <w:p w14:paraId="44560FEE" w14:textId="77777777" w:rsidR="00FD53DE" w:rsidRDefault="00FD53DE" w:rsidP="00FD53DE">
                              <w:pPr>
                                <w:jc w:val="center"/>
                                <w:rPr>
                                  <w:rFonts w:eastAsia="Calibri"/>
                                  <w:sz w:val="20"/>
                                  <w:szCs w:val="20"/>
                                </w:rPr>
                              </w:pPr>
                              <w:r>
                                <w:rPr>
                                  <w:rFonts w:eastAsia="Calibri"/>
                                  <w:sz w:val="20"/>
                                  <w:szCs w:val="20"/>
                                </w:rPr>
                                <w:t>Maintenance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40"/>
                        <wps:cNvSpPr txBox="1"/>
                        <wps:spPr>
                          <a:xfrm>
                            <a:off x="2066925" y="884850"/>
                            <a:ext cx="808990" cy="581025"/>
                          </a:xfrm>
                          <a:prstGeom prst="rect">
                            <a:avLst/>
                          </a:prstGeom>
                          <a:solidFill>
                            <a:schemeClr val="lt1"/>
                          </a:solidFill>
                          <a:ln w="6350">
                            <a:solidFill>
                              <a:prstClr val="black"/>
                            </a:solidFill>
                          </a:ln>
                        </wps:spPr>
                        <wps:txbx>
                          <w:txbxContent>
                            <w:p w14:paraId="11F4EB23"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4</w:t>
                              </w:r>
                            </w:p>
                            <w:p w14:paraId="7BED6199" w14:textId="77777777" w:rsidR="00FD53DE" w:rsidRDefault="00FD53DE" w:rsidP="00FD53DE">
                              <w:pPr>
                                <w:jc w:val="center"/>
                                <w:rPr>
                                  <w:rFonts w:eastAsia="Calibri"/>
                                  <w:sz w:val="20"/>
                                  <w:szCs w:val="20"/>
                                </w:rPr>
                              </w:pPr>
                              <w:r>
                                <w:rPr>
                                  <w:rFonts w:eastAsia="Calibri"/>
                                  <w:sz w:val="20"/>
                                  <w:szCs w:val="20"/>
                                </w:rPr>
                                <w:t>Decided not to act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Straight Arrow Connector 47"/>
                        <wps:cNvCnPr/>
                        <wps:spPr>
                          <a:xfrm>
                            <a:off x="847725" y="371475"/>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1876964" y="389550"/>
                            <a:ext cx="189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865415" y="389550"/>
                            <a:ext cx="189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3836965" y="371475"/>
                            <a:ext cx="189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4541815" y="371475"/>
                            <a:ext cx="189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2466824" y="657225"/>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EB56564" id="Canvas 39" o:spid="_x0000_s1063" editas="canvas" style="width:455.25pt;height:120pt;mso-position-horizontal-relative:char;mso-position-vertical-relative:line" coordsize="5781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">
                <v:shape id="_x0000_s1064" type="#_x0000_t75" style="position:absolute;width:57816;height:15240;visibility:visible;mso-wrap-style:square" filled="t">
                  <v:fill o:detectmouseclick="t"/>
                  <v:path o:connecttype="none"/>
                </v:shape>
                <v:shape id="Text Box 40" o:spid="_x0000_s1065" type="#_x0000_t202" style="position:absolute;left:762;top:762;width:809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275CFD2A" w14:textId="77777777" w:rsidR="00FD53DE" w:rsidRPr="00944DE5" w:rsidRDefault="00FD53DE" w:rsidP="00FD53DE">
                        <w:pPr>
                          <w:spacing w:after="0" w:line="240" w:lineRule="auto"/>
                          <w:jc w:val="center"/>
                          <w:rPr>
                            <w:b/>
                            <w:bCs/>
                            <w:sz w:val="20"/>
                            <w:szCs w:val="18"/>
                          </w:rPr>
                        </w:pPr>
                        <w:r w:rsidRPr="00944DE5">
                          <w:rPr>
                            <w:b/>
                            <w:bCs/>
                            <w:sz w:val="20"/>
                            <w:szCs w:val="18"/>
                          </w:rPr>
                          <w:t>Stage 1</w:t>
                        </w:r>
                      </w:p>
                      <w:p w14:paraId="35690867" w14:textId="77777777" w:rsidR="00FD53DE" w:rsidRPr="008861DE" w:rsidRDefault="00FD53DE" w:rsidP="00FD53DE">
                        <w:pPr>
                          <w:spacing w:line="240" w:lineRule="auto"/>
                          <w:jc w:val="center"/>
                          <w:rPr>
                            <w:sz w:val="20"/>
                            <w:szCs w:val="18"/>
                          </w:rPr>
                        </w:pPr>
                        <w:r w:rsidRPr="008861DE">
                          <w:rPr>
                            <w:sz w:val="20"/>
                            <w:szCs w:val="18"/>
                          </w:rPr>
                          <w:t>Unaware of health risk</w:t>
                        </w:r>
                      </w:p>
                    </w:txbxContent>
                  </v:textbox>
                </v:shape>
                <v:shape id="Text Box 40" o:spid="_x0000_s1066" type="#_x0000_t202" style="position:absolute;left:9991;top:762;width:895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1978A3D1"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2</w:t>
                        </w:r>
                      </w:p>
                      <w:p w14:paraId="44313AAE" w14:textId="77777777" w:rsidR="00FD53DE" w:rsidRDefault="00FD53DE" w:rsidP="00FD53DE">
                        <w:pPr>
                          <w:jc w:val="center"/>
                          <w:rPr>
                            <w:rFonts w:eastAsia="Calibri"/>
                            <w:sz w:val="20"/>
                            <w:szCs w:val="20"/>
                          </w:rPr>
                        </w:pPr>
                        <w:r>
                          <w:rPr>
                            <w:rFonts w:eastAsia="Calibri"/>
                            <w:sz w:val="20"/>
                            <w:szCs w:val="20"/>
                          </w:rPr>
                          <w:t>Unengaged by health risk</w:t>
                        </w:r>
                      </w:p>
                    </w:txbxContent>
                  </v:textbox>
                </v:shape>
                <v:shape id="Text Box 40" o:spid="_x0000_s1067" type="#_x0000_t202" style="position:absolute;left:20183;top:657;width:867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659A8142"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3</w:t>
                        </w:r>
                      </w:p>
                      <w:p w14:paraId="735DACF2" w14:textId="77777777" w:rsidR="00FD53DE" w:rsidRDefault="00FD53DE" w:rsidP="00FD53DE">
                        <w:pPr>
                          <w:jc w:val="center"/>
                          <w:rPr>
                            <w:rFonts w:eastAsia="Calibri"/>
                            <w:sz w:val="20"/>
                            <w:szCs w:val="20"/>
                          </w:rPr>
                        </w:pPr>
                        <w:r>
                          <w:rPr>
                            <w:rFonts w:eastAsia="Calibri"/>
                            <w:sz w:val="20"/>
                            <w:szCs w:val="20"/>
                          </w:rPr>
                          <w:t>Undecided about acting</w:t>
                        </w:r>
                      </w:p>
                    </w:txbxContent>
                  </v:textbox>
                </v:shape>
                <v:shape id="Text Box 40" o:spid="_x0000_s1068" type="#_x0000_t202" style="position:absolute;left:30089;top:657;width:848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5B1E8183"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5</w:t>
                        </w:r>
                      </w:p>
                      <w:p w14:paraId="3C5B5AD4" w14:textId="77777777" w:rsidR="00FD53DE" w:rsidRDefault="00FD53DE" w:rsidP="00FD53DE">
                        <w:pPr>
                          <w:jc w:val="center"/>
                          <w:rPr>
                            <w:rFonts w:eastAsia="Calibri"/>
                            <w:sz w:val="20"/>
                            <w:szCs w:val="20"/>
                          </w:rPr>
                        </w:pPr>
                        <w:r>
                          <w:rPr>
                            <w:rFonts w:eastAsia="Calibri"/>
                            <w:sz w:val="20"/>
                            <w:szCs w:val="20"/>
                          </w:rPr>
                          <w:t>Decided about acting</w:t>
                        </w:r>
                      </w:p>
                    </w:txbxContent>
                  </v:textbox>
                </v:shape>
                <v:shape id="Text Box 40" o:spid="_x0000_s1069" type="#_x0000_t202" style="position:absolute;left:39804;top:657;width:6011;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12B56DBF"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6</w:t>
                        </w:r>
                      </w:p>
                      <w:p w14:paraId="553FEC3C" w14:textId="77777777" w:rsidR="00FD53DE" w:rsidRDefault="00FD53DE" w:rsidP="00FD53DE">
                        <w:pPr>
                          <w:jc w:val="center"/>
                          <w:rPr>
                            <w:rFonts w:eastAsia="Calibri"/>
                            <w:sz w:val="20"/>
                            <w:szCs w:val="20"/>
                          </w:rPr>
                        </w:pPr>
                        <w:r>
                          <w:rPr>
                            <w:rFonts w:eastAsia="Calibri"/>
                            <w:sz w:val="20"/>
                            <w:szCs w:val="20"/>
                          </w:rPr>
                          <w:t>Acting</w:t>
                        </w:r>
                      </w:p>
                    </w:txbxContent>
                  </v:textbox>
                </v:shape>
                <v:shape id="Text Box 40" o:spid="_x0000_s1070" type="#_x0000_t202" style="position:absolute;left:47043;top:657;width:88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6869F7D8"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7</w:t>
                        </w:r>
                      </w:p>
                      <w:p w14:paraId="44560FEE" w14:textId="77777777" w:rsidR="00FD53DE" w:rsidRDefault="00FD53DE" w:rsidP="00FD53DE">
                        <w:pPr>
                          <w:jc w:val="center"/>
                          <w:rPr>
                            <w:rFonts w:eastAsia="Calibri"/>
                            <w:sz w:val="20"/>
                            <w:szCs w:val="20"/>
                          </w:rPr>
                        </w:pPr>
                        <w:r>
                          <w:rPr>
                            <w:rFonts w:eastAsia="Calibri"/>
                            <w:sz w:val="20"/>
                            <w:szCs w:val="20"/>
                          </w:rPr>
                          <w:t>Maintenance</w:t>
                        </w:r>
                      </w:p>
                    </w:txbxContent>
                  </v:textbox>
                </v:shape>
                <v:shape id="Text Box 40" o:spid="_x0000_s1071" type="#_x0000_t202" style="position:absolute;left:20669;top:8848;width:809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11F4EB23" w14:textId="77777777" w:rsidR="00FD53DE" w:rsidRPr="00944DE5" w:rsidRDefault="00FD53DE" w:rsidP="00FD53DE">
                        <w:pPr>
                          <w:spacing w:after="0"/>
                          <w:jc w:val="center"/>
                          <w:rPr>
                            <w:rFonts w:eastAsia="Calibri"/>
                            <w:b/>
                            <w:bCs/>
                            <w:sz w:val="20"/>
                            <w:szCs w:val="20"/>
                          </w:rPr>
                        </w:pPr>
                        <w:r w:rsidRPr="00944DE5">
                          <w:rPr>
                            <w:rFonts w:eastAsia="Calibri"/>
                            <w:b/>
                            <w:bCs/>
                            <w:sz w:val="20"/>
                            <w:szCs w:val="20"/>
                          </w:rPr>
                          <w:t>Stage 4</w:t>
                        </w:r>
                      </w:p>
                      <w:p w14:paraId="7BED6199" w14:textId="77777777" w:rsidR="00FD53DE" w:rsidRDefault="00FD53DE" w:rsidP="00FD53DE">
                        <w:pPr>
                          <w:jc w:val="center"/>
                          <w:rPr>
                            <w:rFonts w:eastAsia="Calibri"/>
                            <w:sz w:val="20"/>
                            <w:szCs w:val="20"/>
                          </w:rPr>
                        </w:pPr>
                        <w:r>
                          <w:rPr>
                            <w:rFonts w:eastAsia="Calibri"/>
                            <w:sz w:val="20"/>
                            <w:szCs w:val="20"/>
                          </w:rPr>
                          <w:t>Decided not to act</w:t>
                        </w:r>
                      </w:p>
                    </w:txbxContent>
                  </v:textbox>
                </v:shape>
                <v:shape id="Straight Arrow Connector 47" o:spid="_x0000_s1072" type="#_x0000_t32" style="position:absolute;left:8477;top:3714;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 id="Straight Arrow Connector 48" o:spid="_x0000_s1073" type="#_x0000_t32" style="position:absolute;left:18769;top:3895;width:18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shape id="Straight Arrow Connector 49" o:spid="_x0000_s1074" type="#_x0000_t32" style="position:absolute;left:28654;top:3895;width:1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ixAAAANsAAAAPAAAAZHJzL2Rvd25yZXYueG1sRI9Ba8JA&#10;FITvhf6H5Qne6sZi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LDhD+LEAAAA2wAAAA8A&#10;AAAAAAAAAAAAAAAABwIAAGRycy9kb3ducmV2LnhtbFBLBQYAAAAAAwADALcAAAD4AgAAAAA=&#10;" strokecolor="black [3200]" strokeweight=".5pt">
                  <v:stroke endarrow="block" joinstyle="miter"/>
                </v:shape>
                <v:shape id="Straight Arrow Connector 50" o:spid="_x0000_s1075" type="#_x0000_t32" style="position:absolute;left:38369;top:3714;width:18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shape id="Straight Arrow Connector 51" o:spid="_x0000_s1076" type="#_x0000_t32" style="position:absolute;left:45418;top:3714;width:1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" strokecolor="black [3200]" strokeweight=".5pt">
                  <v:stroke endarrow="block" joinstyle="miter"/>
                </v:shape>
                <v:shape id="Straight Arrow Connector 52" o:spid="_x0000_s1077" type="#_x0000_t32" style="position:absolute;left:24668;top:6572;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" strokecolor="black [3200]" strokeweight=".5pt">
                  <v:stroke endarrow="block" joinstyle="miter"/>
                </v:shape>
                <w10:anchorlock/>
              </v:group>
            </w:pict>
          </mc:Fallback>
        </mc:AlternateContent>
      </w:r>
    </w:p>
    <w:p w14:paraId="44DA817A" w14:textId="77777777" w:rsidR="00FD53DE" w:rsidRPr="00093A3D" w:rsidRDefault="00FD53DE" w:rsidP="00FD53DE">
      <w:pPr>
        <w:pStyle w:val="Caption"/>
        <w:spacing w:after="0" w:line="480" w:lineRule="auto"/>
        <w:rPr>
          <w:rFonts w:cs="Times New Roman"/>
          <w:color w:val="auto"/>
          <w:sz w:val="24"/>
          <w:szCs w:val="24"/>
        </w:rPr>
      </w:pPr>
      <w:r w:rsidRPr="00093A3D">
        <w:rPr>
          <w:rFonts w:cs="Times New Roman"/>
          <w:b/>
          <w:bCs/>
          <w:color w:val="auto"/>
          <w:sz w:val="24"/>
          <w:szCs w:val="24"/>
        </w:rPr>
        <w:t xml:space="preserve">Figure </w:t>
      </w:r>
      <w:r w:rsidRPr="00093A3D">
        <w:rPr>
          <w:rFonts w:cs="Times New Roman"/>
          <w:b/>
          <w:bCs/>
          <w:color w:val="auto"/>
          <w:sz w:val="24"/>
          <w:szCs w:val="24"/>
        </w:rPr>
        <w:fldChar w:fldCharType="begin"/>
      </w:r>
      <w:r w:rsidRPr="00093A3D">
        <w:rPr>
          <w:rFonts w:cs="Times New Roman"/>
          <w:b/>
          <w:bCs/>
          <w:color w:val="auto"/>
          <w:sz w:val="24"/>
          <w:szCs w:val="24"/>
        </w:rPr>
        <w:instrText xml:space="preserve"> SEQ Figure \* ARABIC </w:instrText>
      </w:r>
      <w:r w:rsidRPr="00093A3D">
        <w:rPr>
          <w:rFonts w:cs="Times New Roman"/>
          <w:b/>
          <w:bCs/>
          <w:color w:val="auto"/>
          <w:sz w:val="24"/>
          <w:szCs w:val="24"/>
        </w:rPr>
        <w:fldChar w:fldCharType="separate"/>
      </w:r>
      <w:r>
        <w:rPr>
          <w:rFonts w:cs="Times New Roman"/>
          <w:b/>
          <w:bCs/>
          <w:noProof/>
          <w:color w:val="auto"/>
          <w:sz w:val="24"/>
          <w:szCs w:val="24"/>
        </w:rPr>
        <w:t>2</w:t>
      </w:r>
      <w:r w:rsidRPr="00093A3D">
        <w:rPr>
          <w:rFonts w:cs="Times New Roman"/>
          <w:b/>
          <w:bCs/>
          <w:color w:val="auto"/>
          <w:sz w:val="24"/>
          <w:szCs w:val="24"/>
        </w:rPr>
        <w:fldChar w:fldCharType="end"/>
      </w:r>
      <w:r w:rsidRPr="00093A3D">
        <w:rPr>
          <w:rFonts w:cs="Times New Roman"/>
          <w:b/>
          <w:bCs/>
          <w:color w:val="auto"/>
          <w:sz w:val="24"/>
          <w:szCs w:val="24"/>
        </w:rPr>
        <w:t>:</w:t>
      </w:r>
      <w:r w:rsidRPr="00093A3D">
        <w:rPr>
          <w:rFonts w:cs="Times New Roman"/>
          <w:color w:val="auto"/>
          <w:sz w:val="24"/>
          <w:szCs w:val="24"/>
        </w:rPr>
        <w:t xml:space="preserve"> The stages of mental states according to the Precaution Adoption Model (Weinstein et al., 2008)</w:t>
      </w:r>
    </w:p>
    <w:p w14:paraId="0DA6018F" w14:textId="77777777" w:rsidR="00FD53DE" w:rsidRPr="00093A3D" w:rsidRDefault="00FD53DE" w:rsidP="00FD53DE">
      <w:pPr>
        <w:spacing w:after="0" w:line="480" w:lineRule="auto"/>
        <w:ind w:firstLine="720"/>
        <w:rPr>
          <w:rFonts w:cs="Times New Roman"/>
          <w:szCs w:val="24"/>
        </w:rPr>
      </w:pPr>
      <w:r w:rsidRPr="00093A3D">
        <w:rPr>
          <w:rFonts w:cs="Times New Roman"/>
          <w:szCs w:val="24"/>
        </w:rPr>
        <w:t>For the current study, the theoretical model offers a framework from which we can make sense of how chronically ill patients learn proper self-management only to falter later in their treatment journey. Applied to the study, stage 1 of the model explains that following initial diagnosis with hypothyroidism, the patient remains unaware of the non-adherence as a potential health issue in their care journey. By stage 2, they are aware of the issue but still do not entertain it as an issue. Later, during stage 3, the patient is aware of the issue and is now engaged in decision-making, but remains undecided about taking precautions. At this point, the options are twofold – to decide on taking no action about the issue, i.e., stage 4, or to reenter the decision-making process and accept the factualness of the issue, i.e., stage 5. By stage 6, the patient is decided on accepting the issue and begins a new behavior, after which they commit to maintaining the behavior over time, i.e., stage 7.</w:t>
      </w:r>
    </w:p>
    <w:p w14:paraId="3496956E" w14:textId="77777777" w:rsidR="00FD53DE" w:rsidRPr="00093A3D" w:rsidRDefault="00FD53DE" w:rsidP="00FD53DE">
      <w:pPr>
        <w:spacing w:after="0" w:line="480" w:lineRule="auto"/>
        <w:ind w:firstLine="720"/>
        <w:rPr>
          <w:rFonts w:cs="Times New Roman"/>
          <w:szCs w:val="24"/>
        </w:rPr>
      </w:pPr>
      <w:r w:rsidRPr="00093A3D">
        <w:rPr>
          <w:rFonts w:cs="Times New Roman"/>
          <w:szCs w:val="24"/>
        </w:rPr>
        <w:t xml:space="preserve">Overall, some justifications for the PAPM are to be used in the current study are as follows: (1) majority of people in life-long self-administered treatment have considered the relevance of the health consequence of non-adherence to medication; (2) knowledge of the issue and resulting opinions imply a move from stage 2 to stage 3; and (3) people beyond stage 3, </w:t>
      </w:r>
      <w:r w:rsidRPr="00093A3D">
        <w:rPr>
          <w:rFonts w:cs="Times New Roman"/>
          <w:szCs w:val="24"/>
        </w:rPr>
        <w:lastRenderedPageBreak/>
        <w:t>whether having decided to act or not, have formed opinions that impact their health behaviors accordingly (Weinstein et al., 2008). From the theoretical assertions addressed in PAPM, health professionals can assess if awareness and knowledge of the consequences of non-adherence changes over time and whether the effectiveness of the various available interventions are similarly apt to change.</w:t>
      </w:r>
    </w:p>
    <w:p w14:paraId="0FEF6592" w14:textId="77777777" w:rsidR="00FD53DE" w:rsidRPr="00093A3D" w:rsidRDefault="00FD53DE" w:rsidP="00FD53DE">
      <w:pPr>
        <w:spacing w:after="0" w:line="480" w:lineRule="auto"/>
        <w:ind w:firstLine="720"/>
        <w:rPr>
          <w:rFonts w:cs="Times New Roman"/>
          <w:szCs w:val="24"/>
        </w:rPr>
      </w:pPr>
      <w:r w:rsidRPr="00093A3D">
        <w:rPr>
          <w:rFonts w:cs="Times New Roman"/>
          <w:szCs w:val="24"/>
        </w:rPr>
        <w:t>The common theme between the TPB and PAPM theoretical frameworks regarding non-adherence to medication is that of inconsistency in medication practice. Through the review of the literature and now conceptual framework development, the health issue concerning the research problem herein is the faltering motivation among hypothyroidism patients to continue their medication routine after a relatively prolonged duration of self-management. The resulting rationale for the sample selection criteria, therefore, must consider factors such as duration of self-management, knowledge of health risks associated with non-adherence, beliefs about non-adherence, and behavioral considerations regarding self-preservation and risk-taking.</w:t>
      </w:r>
    </w:p>
    <w:p w14:paraId="6E1845E3" w14:textId="77777777" w:rsidR="00FD53DE" w:rsidRDefault="00FD53DE" w:rsidP="00FD53DE">
      <w:pPr>
        <w:spacing w:after="0" w:line="480" w:lineRule="auto"/>
        <w:ind w:firstLine="720"/>
        <w:rPr>
          <w:rFonts w:cs="Times New Roman"/>
          <w:b/>
          <w:bCs/>
          <w:szCs w:val="24"/>
        </w:rPr>
      </w:pPr>
      <w:r w:rsidRPr="00093A3D">
        <w:rPr>
          <w:rFonts w:cs="Times New Roman"/>
          <w:szCs w:val="24"/>
        </w:rPr>
        <w:t>The TPB and PAPM demonstrate remarkable utility in the current study. However, each has its limitations when used to address public health problems as is intended in this change exercise. The first limitation of the TPB is that it does not account for other important variables that may influence behavioral motivation and intention such as threat, fear, experience, or mood. The second notable limitation is that it assumes behavior is the product of linear decision-making and cannot change over time. Conversely, the PAPM has the limitation of overgeneralization – it does not provide specific sets of variables to differentiate between mental states, and neither does it explain how people progress from one stage to the next. These limitations are likely to creep into the research, thus the researcher will exercise diligence and discretion to try and minimize their effect.</w:t>
      </w:r>
      <w:r w:rsidRPr="00093A3D">
        <w:rPr>
          <w:rFonts w:cs="Times New Roman"/>
          <w:b/>
          <w:bCs/>
          <w:szCs w:val="24"/>
        </w:rPr>
        <w:br w:type="page"/>
      </w:r>
    </w:p>
    <w:p w14:paraId="343E09FB"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lastRenderedPageBreak/>
        <w:t>Intervention for Proposed Clinical Change Project</w:t>
      </w:r>
    </w:p>
    <w:p w14:paraId="4B11A70B"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Background</w:t>
      </w:r>
    </w:p>
    <w:p w14:paraId="7F42280F"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In recapitulation of the change-based project, the project objective was to determine how a tailored education program will improve non-compliance with dietary and medical instruction among Latino females with hypothyroidism following a nine-week program. The issue prompting the need for the change project is the realization that: 5% of Americans aged 12 years and older suffer some form of hypothyroidism (NIDDKD, 2021), yet of that number, the rate of adherence to medication is only 50% at any given time (AlHewiti, 2014). Evidence suggests that patients in developed countries adhere to their medication only half of the time as those in developing countries record far worse compliance records (AlHewiti, 2014). The current study observes that non-adherence to medication among patients with hypothyroidism is attributable to behavioral factors, for which it proposes psychological-based changes to increase rate of adherence.</w:t>
      </w:r>
    </w:p>
    <w:p w14:paraId="2807CA33"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Proposed Intervention</w:t>
      </w:r>
    </w:p>
    <w:p w14:paraId="4DE4DF04"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From the review of the literature, it was established that health literacy is not a predictor of medication adherence in chronically ill patients. This finding reveals that even with adequate patient education, non-adherent behavior will still occur among these patients eventually. The decision to violate a treatment regimen, as was established in the literature review and articulated in the conceptual framework, is a planned behavior whose solutions cannot be found in further education. For this reason, the change plan rules out the use of conventional education programs as a potential intervention for the issue. Instead, it proposes a tailored education program based on psychological empowerment strategy, and which is founded on four specific dimensions:</w:t>
      </w:r>
    </w:p>
    <w:p w14:paraId="604C8A26" w14:textId="77777777" w:rsidR="00FD53DE" w:rsidRPr="00755C63" w:rsidRDefault="00FD53DE" w:rsidP="00FD53DE">
      <w:pPr>
        <w:pStyle w:val="ListParagraph"/>
        <w:numPr>
          <w:ilvl w:val="0"/>
          <w:numId w:val="2"/>
        </w:numPr>
        <w:spacing w:after="0" w:line="480" w:lineRule="auto"/>
        <w:rPr>
          <w:rFonts w:cs="Times New Roman"/>
          <w:szCs w:val="24"/>
        </w:rPr>
      </w:pPr>
      <w:r w:rsidRPr="00755C63">
        <w:rPr>
          <w:rFonts w:cs="Times New Roman"/>
          <w:szCs w:val="24"/>
        </w:rPr>
        <w:lastRenderedPageBreak/>
        <w:t>Meaningfulness, that is, the value of actions worth taking continued interest in and commitment to;</w:t>
      </w:r>
    </w:p>
    <w:p w14:paraId="735CAAA5" w14:textId="77777777" w:rsidR="00FD53DE" w:rsidRPr="00755C63" w:rsidRDefault="00FD53DE" w:rsidP="00FD53DE">
      <w:pPr>
        <w:pStyle w:val="ListParagraph"/>
        <w:numPr>
          <w:ilvl w:val="0"/>
          <w:numId w:val="2"/>
        </w:numPr>
        <w:spacing w:after="0" w:line="480" w:lineRule="auto"/>
        <w:rPr>
          <w:rFonts w:cs="Times New Roman"/>
          <w:szCs w:val="24"/>
        </w:rPr>
      </w:pPr>
      <w:r w:rsidRPr="00755C63">
        <w:rPr>
          <w:rFonts w:cs="Times New Roman"/>
          <w:szCs w:val="24"/>
        </w:rPr>
        <w:t>Impact, that is, the notion that one’s actions are not in vain;</w:t>
      </w:r>
    </w:p>
    <w:p w14:paraId="450B69C9" w14:textId="77777777" w:rsidR="00FD53DE" w:rsidRPr="00755C63" w:rsidRDefault="00FD53DE" w:rsidP="00FD53DE">
      <w:pPr>
        <w:pStyle w:val="ListParagraph"/>
        <w:numPr>
          <w:ilvl w:val="0"/>
          <w:numId w:val="2"/>
        </w:numPr>
        <w:spacing w:after="0" w:line="480" w:lineRule="auto"/>
        <w:rPr>
          <w:rFonts w:cs="Times New Roman"/>
          <w:szCs w:val="24"/>
        </w:rPr>
      </w:pPr>
      <w:r w:rsidRPr="00755C63">
        <w:rPr>
          <w:rFonts w:cs="Times New Roman"/>
          <w:szCs w:val="24"/>
        </w:rPr>
        <w:t>Autonomy, that is, the state of being capable and liable of one’s own choices; and</w:t>
      </w:r>
    </w:p>
    <w:p w14:paraId="61E628F2" w14:textId="77777777" w:rsidR="00FD53DE" w:rsidRPr="00755C63" w:rsidRDefault="00FD53DE" w:rsidP="00FD53DE">
      <w:pPr>
        <w:pStyle w:val="ListParagraph"/>
        <w:numPr>
          <w:ilvl w:val="0"/>
          <w:numId w:val="2"/>
        </w:numPr>
        <w:spacing w:after="0" w:line="480" w:lineRule="auto"/>
        <w:rPr>
          <w:rFonts w:cs="Times New Roman"/>
          <w:szCs w:val="24"/>
        </w:rPr>
      </w:pPr>
      <w:r w:rsidRPr="00755C63">
        <w:rPr>
          <w:rFonts w:cs="Times New Roman"/>
          <w:szCs w:val="24"/>
        </w:rPr>
        <w:t>Competence, that is, the confidence in one’s ability to see certain actions through.</w:t>
      </w:r>
    </w:p>
    <w:p w14:paraId="55BDBF74"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At the center of this intervention plan is the science of behavior change, which provides remarkable evidence concerning the pivotal role that behavior plays in morbidity, mortality, well-being, and health care costs (Patrick &amp; Williams, 2012). Research has shown that a substantial part of all health care costs (75%) is attributable to chronic diseases resulting from risky health behaviors such as poor diet, use of and exposure to tobacco, and physical inactivity among other behaviors (Patrick &amp; Williams, 2012). On the flip side, adherence to proper lifestyle behaviors such as keeping a healthy diet, moderate consumption of alcohol, and participation in physical activity have been observed to reduce the incidence of coronary events significantly (Patrick &amp; Williams, 2012). Mapping these research findings on the current study, clarity is obtained regarding how behavioral interventions work to help mediate psychosocial variables such as self-efficacy and motivation. The expectation of the study is that the tailored education intervention will have a direct impact on behavioral outcomes within the target population.</w:t>
      </w:r>
    </w:p>
    <w:p w14:paraId="6B66A26D"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Refining the Intervention</w:t>
      </w:r>
    </w:p>
    <w:p w14:paraId="5B720EE8"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 xml:space="preserve">At this point, the intervention proposed in the change project is described as a tailored education program with its focus on psychological empowerment. The scope of the psychological empowerment component is delimited by four specific domains of psychological mediation: meaningfulness, impact, autonomy, and competence. The project intervention, therefore, takes the shape and form of vocational and counselling psychology, mediated and </w:t>
      </w:r>
      <w:r w:rsidRPr="00755C63">
        <w:rPr>
          <w:rFonts w:cs="Times New Roman"/>
          <w:szCs w:val="24"/>
          <w:lang w:val="en-US"/>
        </w:rPr>
        <w:lastRenderedPageBreak/>
        <w:t>moderated through the collaborative efforts of advanced practice nurses (APNs) and community agencies within a spectrum of practice in which clinicians, administrators, and policy makers are also represented.</w:t>
      </w:r>
    </w:p>
    <w:p w14:paraId="41B2B5EB"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The nurse interventionist (the APN) will refine the intervention (the tailored education program) to specifically target the four psychological variables (i.e., meaningfulness, impact, autonomy, and competence) with the anticipation that such refinement will yield more efficient interventions. Meaningfulness is a fundamental component of an individual’s attitude and worldview regarding the value of their life. Lack of meaning can be associated with negative mental health outcomes such as stress, depression, and even suicide ideation (Martela &amp; Riekki, 2018). We may surmise that devaluation of one’s life is one cause for neglecting oneself, like non-adherent patients with chronic illness do. The intervention is expected to impact non-adherent behavior by mediating mechanisms through which behavior change occurs.</w:t>
      </w:r>
    </w:p>
    <w:p w14:paraId="7FF9D7D3"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The next variable, autonomy, refers to the sense of self-determination and a person’s internal perceived locus of causality regarding their own actions. It is the feeling that one’s actions emanate from the self and are a reflection of who they really are rather than the result of externalities (Martela &amp; Riekki, 2018). In this regard, the intervention seeks to establish a mechanism through which contrary behavioral outcomes regarding self-management may be improved via a psychosocial variable such as motivation or empowerment. In equal measure, the variables of impact and competence will be targeted through psychological mediation of behavioral outcomes.</w:t>
      </w:r>
    </w:p>
    <w:p w14:paraId="2ED9C997"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Comparable Views</w:t>
      </w:r>
    </w:p>
    <w:p w14:paraId="74177D25"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 xml:space="preserve">There is wide consensus among researchers and health practitioners alike that non-adherence to medication undermines the success and safety of many therapies (Gast &amp; Mathes, </w:t>
      </w:r>
      <w:r w:rsidRPr="00755C63">
        <w:rPr>
          <w:rFonts w:cs="Times New Roman"/>
          <w:szCs w:val="24"/>
          <w:lang w:val="en-US"/>
        </w:rPr>
        <w:lastRenderedPageBreak/>
        <w:t>2019). The problem is especially a common cause for concern among patients with chronic conditions that demand long-term medication therapy. Despite the evidence of the health and safety risks, the problem persists and contributes substantially to the high cost of health care worldwide. The intervention offered in this change project is only one among many solutions available to improve medication outcomes for patients with chronic conditions placed on long-term medication. One study by Li et al., (2021) proposes a technology-based intervention strategy. Their study evaluates the use of a medication adherence smartphone app in adults with multimorbidity, and its finding is that the intervention leads to significant and large improvements in medication adherence after an extended period of use – generally after the second month (Li et al., 2021). The WHO (2003) observes that the use of technology to improve adherence is particularly helpful for patients needing complex multi-therapies that are more difficult to keep up with.</w:t>
      </w:r>
    </w:p>
    <w:p w14:paraId="4428E5BC"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 xml:space="preserve">The second alternative intervention strategy for non-adherence involves behavioral interventions. Examples of this type of intervention include telephone follow-up and home visits to provide planning and support for struggling patients. According to Costa et al., (2015), behavioral interventions to improve medication adherence have barely yielded consistent results, and generally show moderate success (Rogers et al., 2017). Efficacy will generally vary significantly between individuals and intervention outcomes are difficult to reproduce across different contexts (Cost et al., 2015). The third is pharmacy management programs, also known as medication adherence programs. These programs work by helping patients who lack coverage and incur high out-of-pocket costs to gain access to the medication they need thus remain compliant (Kruczek, 2020). The programs are generally designed to deal with patient-specific barriers to medication adhere, which may also lead them to offer patient education and </w:t>
      </w:r>
      <w:r w:rsidRPr="00755C63">
        <w:rPr>
          <w:rFonts w:cs="Times New Roman"/>
          <w:szCs w:val="24"/>
          <w:lang w:val="en-US"/>
        </w:rPr>
        <w:lastRenderedPageBreak/>
        <w:t>empowerment interventions. Other comparable solutions to the non-adherence problem are: professional intervention protocols by nurses, pharmacists, and other non-medical health professionals; educational interventions in self-management; follow-up by a health practitioner; integrated care interventions; risk communication; packaging and daily reminders; and self-management interventions.</w:t>
      </w:r>
    </w:p>
    <w:p w14:paraId="70022959"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The Role of APN in the Intervention and Implications for Practice</w:t>
      </w:r>
    </w:p>
    <w:p w14:paraId="1DF9232F"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As masters-prepared registered nurses who have acquired expert knowledge, complex decision-making skills, and clinical competencies required for advanced practice, APNs serve a crucial role in health promotion and improvement (Bryant-Lukosius et al., 2017). Their practice, which involves working both directly and indirectly in the care of patients, their families, communities, and whole populations, fits the scope of the current study by virtue of the range of individuals and groups served by their practice. The intervention proposed in this change project requires mediators and moderators, whose roles as interventionists are to target problem behaviors thus impact behavioral outcomes, to clarify the circumstances under which the intervention is effective, and to assess the behavioral outcome at the end of the intervention (Patrick &amp; Williams, 2012). As such, the primary role of the APN in this project is to strengthen support for people with hypothyroidism, who find it hard to adhere to medication through a change program that involves psychological empowerment. As the facilitators of the expected change, the APN role supports nursing practice and community support systems through leadership to achieve improved health outcomes for the targeted group.</w:t>
      </w:r>
    </w:p>
    <w:p w14:paraId="79C7929E"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Project Methodology and Data Analysis</w:t>
      </w:r>
    </w:p>
    <w:p w14:paraId="7850C1B7"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 xml:space="preserve">The main goal of the data collection protocol in this project will be to target a section of the population deemed relevant to the planned intervention. Data to be collected from the </w:t>
      </w:r>
      <w:r w:rsidRPr="00755C63">
        <w:rPr>
          <w:rFonts w:cs="Times New Roman"/>
          <w:szCs w:val="24"/>
          <w:lang w:val="en-US"/>
        </w:rPr>
        <w:lastRenderedPageBreak/>
        <w:t>participants of the study is necessary to understand the mechanisms by which the intervention works and the path towards behavioral change. To facilitate this data collection protocol, a survey method will be used, which will narrow down the sample population to include only patients with hypothyroidism, who are non-compliant for any reason other than inadvertent failure to take medication due to reasons such as forgetfulness or complexity of medication therapy; or due to venial reasons such as financial hardship and limited access to needed medication. The outcome of this sample treatment strategy will be a group of participants considered non-adherent due to their own inclination to be so. This sampling strategy ensures that people making it to the final list of participants show behavioral outcomes that are relevant to the intervention plan.</w:t>
      </w:r>
    </w:p>
    <w:p w14:paraId="4D246F4F"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The data collected from this study will be concerned with the efficacy of the intervention following a nine-week program. Analysis of that data will utilize a descriptive method in which answers will be obtained about the efficacy of the tailored education program in causing improvement of medication adherence among participants.</w:t>
      </w:r>
    </w:p>
    <w:p w14:paraId="09CEFDD9" w14:textId="77777777" w:rsidR="00FD53DE" w:rsidRPr="00755C63" w:rsidRDefault="00FD53DE" w:rsidP="00FD53DE">
      <w:pPr>
        <w:spacing w:after="0" w:line="480" w:lineRule="auto"/>
        <w:jc w:val="center"/>
        <w:rPr>
          <w:rFonts w:cs="Times New Roman"/>
          <w:b/>
          <w:bCs/>
          <w:szCs w:val="24"/>
          <w:lang w:val="en-US"/>
        </w:rPr>
      </w:pPr>
      <w:r w:rsidRPr="00755C63">
        <w:rPr>
          <w:rFonts w:cs="Times New Roman"/>
          <w:b/>
          <w:bCs/>
          <w:szCs w:val="24"/>
          <w:lang w:val="en-US"/>
        </w:rPr>
        <w:t>Implications of the Change Project</w:t>
      </w:r>
    </w:p>
    <w:p w14:paraId="64ED20A2" w14:textId="77777777" w:rsidR="00FD53DE" w:rsidRPr="00755C63" w:rsidRDefault="00FD53DE" w:rsidP="00FD53DE">
      <w:pPr>
        <w:spacing w:after="0" w:line="480" w:lineRule="auto"/>
        <w:ind w:firstLine="720"/>
        <w:rPr>
          <w:rFonts w:cs="Times New Roman"/>
          <w:szCs w:val="24"/>
          <w:lang w:val="en-US"/>
        </w:rPr>
      </w:pPr>
      <w:r w:rsidRPr="00755C63">
        <w:rPr>
          <w:rFonts w:cs="Times New Roman"/>
          <w:szCs w:val="24"/>
          <w:lang w:val="en-US"/>
        </w:rPr>
        <w:t xml:space="preserve">When implemented, this change project is expected to expand our understanding of which behavioral processes have a direct or indirect impact on self-efficacy or the motivation to continue medication despite conflicting personal beliefs or inclinations. In part, the study is a test of whether its theoretical underpinnings are consistent with real world practical utility of theoretical concepts. More importantly, the study is a means through which more efficient interventions can be established. By sequencing the processes through which behavior change occurs, the outcomes of the study may themselves be a learning point from which we can gauge whether the intervention is working in expected ways and whether those outcomes can be used to </w:t>
      </w:r>
      <w:r w:rsidRPr="00755C63">
        <w:rPr>
          <w:rFonts w:cs="Times New Roman"/>
          <w:szCs w:val="24"/>
          <w:lang w:val="en-US"/>
        </w:rPr>
        <w:lastRenderedPageBreak/>
        <w:t>shape newer and improved interventions. By and large, the most important implication of the study is its ability to confirm or challenge existing behavioral interventions designed for patients with chronic conditions.</w:t>
      </w:r>
    </w:p>
    <w:p w14:paraId="7809C688" w14:textId="77777777" w:rsidR="00FD53DE" w:rsidRDefault="00FD53DE" w:rsidP="00FD53DE">
      <w:pPr>
        <w:spacing w:after="0" w:line="480" w:lineRule="auto"/>
        <w:ind w:firstLine="720"/>
        <w:rPr>
          <w:rFonts w:cs="Times New Roman"/>
          <w:szCs w:val="24"/>
          <w:lang w:val="en-US"/>
        </w:rPr>
      </w:pPr>
      <w:r w:rsidRPr="00755C63">
        <w:rPr>
          <w:rFonts w:cs="Times New Roman"/>
          <w:szCs w:val="24"/>
          <w:lang w:val="en-US"/>
        </w:rPr>
        <w:t>One limitation of this study is that its sample and selection is probabilistic and is confined to female Latinos. This means that the sample does not represent the general population, thus its results cannot be confidently generalized in all situations. Furthermore, evidence suggests that health behaviors between cultures and ethnicities are generally discordant, thus such generalizations are practically impossible. The other limitation is that the study relies on self-reported data, which is usually subjective and cannot be verified independently. For instance, we anticipate that the tailored education program will lead to improvement in adherence behavior, yet behavior is liable to attribution bias, that is, the tendency to attribute positive outcomes and events to one’s own agency while dissociating oneself from negative events and outcomes.</w:t>
      </w:r>
    </w:p>
    <w:p w14:paraId="2A124DE3" w14:textId="77777777" w:rsidR="00FD53DE" w:rsidRDefault="00FD53DE" w:rsidP="00FD53DE">
      <w:pPr>
        <w:spacing w:after="0" w:line="480" w:lineRule="auto"/>
        <w:ind w:firstLine="720"/>
        <w:rPr>
          <w:rFonts w:cs="Times New Roman"/>
          <w:szCs w:val="24"/>
          <w:lang w:val="en-US"/>
        </w:rPr>
      </w:pPr>
    </w:p>
    <w:p w14:paraId="1B42C852" w14:textId="77777777" w:rsidR="00FD53DE" w:rsidRDefault="00FD53DE" w:rsidP="00FD53DE">
      <w:pPr>
        <w:spacing w:after="0" w:line="480" w:lineRule="auto"/>
        <w:ind w:firstLine="720"/>
        <w:rPr>
          <w:rFonts w:cs="Times New Roman"/>
          <w:szCs w:val="24"/>
          <w:lang w:val="en-US"/>
        </w:rPr>
      </w:pPr>
    </w:p>
    <w:p w14:paraId="6C0BB6DF" w14:textId="77777777" w:rsidR="00FD53DE" w:rsidRDefault="00FD53DE" w:rsidP="00FD53DE">
      <w:pPr>
        <w:spacing w:after="0" w:line="480" w:lineRule="auto"/>
        <w:ind w:firstLine="720"/>
        <w:rPr>
          <w:rFonts w:cs="Times New Roman"/>
          <w:szCs w:val="24"/>
          <w:lang w:val="en-US"/>
        </w:rPr>
      </w:pPr>
    </w:p>
    <w:p w14:paraId="187374FC" w14:textId="77777777" w:rsidR="00FD53DE" w:rsidRDefault="00FD53DE" w:rsidP="00FD53DE">
      <w:pPr>
        <w:spacing w:after="0" w:line="480" w:lineRule="auto"/>
        <w:ind w:firstLine="720"/>
        <w:rPr>
          <w:rFonts w:cs="Times New Roman"/>
          <w:szCs w:val="24"/>
          <w:lang w:val="en-US"/>
        </w:rPr>
      </w:pPr>
    </w:p>
    <w:p w14:paraId="205BB7A6" w14:textId="77777777" w:rsidR="00FD53DE" w:rsidRDefault="00FD53DE" w:rsidP="00FD53DE">
      <w:pPr>
        <w:spacing w:after="0" w:line="480" w:lineRule="auto"/>
        <w:ind w:firstLine="720"/>
        <w:rPr>
          <w:rFonts w:cs="Times New Roman"/>
          <w:szCs w:val="24"/>
          <w:lang w:val="en-US"/>
        </w:rPr>
      </w:pPr>
    </w:p>
    <w:p w14:paraId="79A11572" w14:textId="77777777" w:rsidR="00FD53DE" w:rsidRDefault="00FD53DE" w:rsidP="00FD53DE">
      <w:pPr>
        <w:spacing w:after="0" w:line="480" w:lineRule="auto"/>
        <w:ind w:firstLine="720"/>
        <w:rPr>
          <w:rFonts w:cs="Times New Roman"/>
          <w:szCs w:val="24"/>
          <w:lang w:val="en-US"/>
        </w:rPr>
      </w:pPr>
    </w:p>
    <w:p w14:paraId="33C0B4D2" w14:textId="77777777" w:rsidR="00FD53DE" w:rsidRDefault="00FD53DE" w:rsidP="00FD53DE">
      <w:pPr>
        <w:spacing w:after="0" w:line="480" w:lineRule="auto"/>
        <w:ind w:firstLine="720"/>
        <w:rPr>
          <w:rFonts w:cs="Times New Roman"/>
          <w:szCs w:val="24"/>
          <w:lang w:val="en-US"/>
        </w:rPr>
      </w:pPr>
    </w:p>
    <w:p w14:paraId="02E5A041" w14:textId="77777777" w:rsidR="00FD53DE" w:rsidRDefault="00FD53DE" w:rsidP="00FD53DE">
      <w:pPr>
        <w:spacing w:after="0" w:line="480" w:lineRule="auto"/>
        <w:ind w:firstLine="720"/>
        <w:rPr>
          <w:rFonts w:cs="Times New Roman"/>
          <w:szCs w:val="24"/>
          <w:lang w:val="en-US"/>
        </w:rPr>
      </w:pPr>
    </w:p>
    <w:p w14:paraId="3E41876C" w14:textId="77777777" w:rsidR="00FD53DE" w:rsidRDefault="00FD53DE" w:rsidP="00FD53DE">
      <w:pPr>
        <w:spacing w:after="0" w:line="480" w:lineRule="auto"/>
        <w:ind w:firstLine="720"/>
        <w:rPr>
          <w:rFonts w:cs="Times New Roman"/>
          <w:szCs w:val="24"/>
          <w:lang w:val="en-US"/>
        </w:rPr>
      </w:pPr>
    </w:p>
    <w:p w14:paraId="72F521B6" w14:textId="77777777" w:rsidR="00FD53DE" w:rsidRDefault="00FD53DE" w:rsidP="00FD53DE">
      <w:pPr>
        <w:spacing w:after="0" w:line="480" w:lineRule="auto"/>
        <w:ind w:firstLine="720"/>
        <w:rPr>
          <w:rFonts w:cs="Times New Roman"/>
          <w:szCs w:val="24"/>
          <w:lang w:val="en-US"/>
        </w:rPr>
      </w:pPr>
    </w:p>
    <w:p w14:paraId="411B2E0A" w14:textId="77777777" w:rsidR="00FD53DE" w:rsidRDefault="00FD53DE" w:rsidP="00FD53DE">
      <w:pPr>
        <w:spacing w:after="0" w:line="480" w:lineRule="auto"/>
        <w:ind w:firstLine="720"/>
        <w:rPr>
          <w:rFonts w:cs="Times New Roman"/>
          <w:szCs w:val="24"/>
          <w:lang w:val="en-US"/>
        </w:rPr>
      </w:pPr>
    </w:p>
    <w:p w14:paraId="4AC21744" w14:textId="77777777" w:rsidR="00FD53DE" w:rsidRPr="00387E42" w:rsidRDefault="00FD53DE" w:rsidP="00FD53DE">
      <w:pPr>
        <w:spacing w:after="0" w:line="480" w:lineRule="auto"/>
        <w:jc w:val="center"/>
        <w:rPr>
          <w:b/>
          <w:bCs/>
          <w:lang w:val="en-US"/>
        </w:rPr>
      </w:pPr>
      <w:r w:rsidRPr="00387E42">
        <w:rPr>
          <w:b/>
          <w:bCs/>
          <w:lang w:val="en-US"/>
        </w:rPr>
        <w:lastRenderedPageBreak/>
        <w:t>Recommendations and Conclusions</w:t>
      </w:r>
    </w:p>
    <w:p w14:paraId="1303592F" w14:textId="77777777" w:rsidR="00FD53DE" w:rsidRPr="00387E42" w:rsidRDefault="00FD53DE" w:rsidP="00FD53DE">
      <w:pPr>
        <w:spacing w:after="0" w:line="480" w:lineRule="auto"/>
        <w:ind w:firstLine="720"/>
        <w:rPr>
          <w:lang w:val="en-US"/>
        </w:rPr>
      </w:pPr>
      <w:r w:rsidRPr="00387E42">
        <w:rPr>
          <w:lang w:val="en-US"/>
        </w:rPr>
        <w:t>The project proposal developed herein aimed to respond to issues surrounding the effective management of hypothyroidism among Latino females, particularly issues involving non-compliance with dietary and medical instruction. The resulting study takes a behavior-oriented approach, looking to identify complex behavioral factors associated with non-adherent behavior, and from that knowledge, address the myriad of health problems through educational intervention. It is incumbent upon governments, with the help of community health services and other stakeholders in healthcare, to provide essential social services to all citizens through education and actual health services to ensure each person has an opportunity for personal health, growth, and development. The study proposed herein takes part in that responsibility by presenting an opportunity for a generally underserved and underrepresented population (female Latinos) to improve their knowledge and direct involvement in health decisions that affect their lives directly. It does so by enhancing the empowerment of this group of people who are disproportionately affected by the conditions that shape their experiences with health services.</w:t>
      </w:r>
    </w:p>
    <w:p w14:paraId="02810C83" w14:textId="77777777" w:rsidR="00FD53DE" w:rsidRPr="00387E42" w:rsidRDefault="00FD53DE" w:rsidP="00FD53DE">
      <w:pPr>
        <w:spacing w:after="0" w:line="480" w:lineRule="auto"/>
        <w:ind w:firstLine="720"/>
        <w:rPr>
          <w:lang w:val="en-US"/>
        </w:rPr>
      </w:pPr>
      <w:r w:rsidRPr="00387E42">
        <w:rPr>
          <w:lang w:val="en-US"/>
        </w:rPr>
        <w:t>To tackle the threat of non-adherence to medication and its implications on the overall cost of healthcare and individual health, this project proposes practical and tactical solutions that account for people’s behavioral dispositions as well as their capacity to commit to change following the provision of resources, facilities, and professional advice to assist them to take more responsibility for their health. Seeing the focus and commitment of the project to community health improvement, we would offer the following recommendations to ensure the project exerts and sustains practical solutions for clinical practice:</w:t>
      </w:r>
    </w:p>
    <w:p w14:paraId="2BC9A60D" w14:textId="77777777" w:rsidR="00FD53DE" w:rsidRPr="00104C71" w:rsidRDefault="00FD53DE" w:rsidP="00FD53DE">
      <w:pPr>
        <w:pStyle w:val="ListParagraph"/>
        <w:numPr>
          <w:ilvl w:val="0"/>
          <w:numId w:val="3"/>
        </w:numPr>
        <w:spacing w:after="0" w:line="480" w:lineRule="auto"/>
      </w:pPr>
      <w:r w:rsidRPr="00104C71">
        <w:t>Utilize contextualized women-centered intervention designs</w:t>
      </w:r>
    </w:p>
    <w:p w14:paraId="71F41DDC" w14:textId="77777777" w:rsidR="00FD53DE" w:rsidRPr="00104C71" w:rsidRDefault="00FD53DE" w:rsidP="00FD53DE">
      <w:pPr>
        <w:pStyle w:val="ListParagraph"/>
        <w:numPr>
          <w:ilvl w:val="0"/>
          <w:numId w:val="3"/>
        </w:numPr>
        <w:spacing w:after="0" w:line="480" w:lineRule="auto"/>
      </w:pPr>
      <w:r w:rsidRPr="00104C71">
        <w:lastRenderedPageBreak/>
        <w:t>Identify and exploit community buy-ins to ensure interventions are localized or designed to work with local partners</w:t>
      </w:r>
    </w:p>
    <w:p w14:paraId="3D2A694C" w14:textId="77777777" w:rsidR="00FD53DE" w:rsidRPr="00104C71" w:rsidRDefault="00FD53DE" w:rsidP="00FD53DE">
      <w:pPr>
        <w:pStyle w:val="ListParagraph"/>
        <w:numPr>
          <w:ilvl w:val="0"/>
          <w:numId w:val="3"/>
        </w:numPr>
        <w:spacing w:after="0" w:line="480" w:lineRule="auto"/>
      </w:pPr>
      <w:r w:rsidRPr="00104C71">
        <w:t>Commit to long-term donor programming to ensure the project is not short-term or one-off.</w:t>
      </w:r>
    </w:p>
    <w:p w14:paraId="1F166380" w14:textId="77777777" w:rsidR="00FD53DE" w:rsidRPr="00104C71" w:rsidRDefault="00FD53DE" w:rsidP="00FD53DE">
      <w:pPr>
        <w:pStyle w:val="ListParagraph"/>
        <w:numPr>
          <w:ilvl w:val="0"/>
          <w:numId w:val="3"/>
        </w:numPr>
        <w:spacing w:after="0" w:line="480" w:lineRule="auto"/>
      </w:pPr>
      <w:r w:rsidRPr="00104C71">
        <w:t xml:space="preserve">Report on impact </w:t>
      </w:r>
      <w:r>
        <w:t>using metrics</w:t>
      </w:r>
      <w:r w:rsidRPr="00104C71">
        <w:t xml:space="preserve"> that </w:t>
      </w:r>
      <w:r>
        <w:t>both the</w:t>
      </w:r>
      <w:r w:rsidRPr="00104C71">
        <w:t xml:space="preserve"> organization</w:t>
      </w:r>
      <w:r>
        <w:t xml:space="preserve"> and other prominent stakeholders</w:t>
      </w:r>
      <w:r w:rsidRPr="00104C71">
        <w:t xml:space="preserve"> recognize</w:t>
      </w:r>
    </w:p>
    <w:p w14:paraId="38F3E5A4" w14:textId="77777777" w:rsidR="00FD53DE" w:rsidRDefault="00FD53DE" w:rsidP="00FD53DE">
      <w:pPr>
        <w:spacing w:after="0" w:line="480" w:lineRule="auto"/>
        <w:ind w:firstLine="720"/>
        <w:rPr>
          <w:lang w:val="en-US"/>
        </w:rPr>
      </w:pPr>
      <w:r>
        <w:rPr>
          <w:lang w:val="en-US"/>
        </w:rPr>
        <w:t xml:space="preserve">Each of these recommendations are designed to be </w:t>
      </w:r>
      <w:r w:rsidRPr="00601068">
        <w:rPr>
          <w:lang w:val="en-US"/>
        </w:rPr>
        <w:t>in tandem</w:t>
      </w:r>
      <w:r>
        <w:rPr>
          <w:lang w:val="en-US"/>
        </w:rPr>
        <w:t xml:space="preserve"> with project sustainability, impact, and accountability objectives. The next section offers further details of each of the four recommendations.</w:t>
      </w:r>
    </w:p>
    <w:p w14:paraId="7FBD8AA2" w14:textId="77777777" w:rsidR="00FD53DE" w:rsidRPr="003E78B0" w:rsidRDefault="00FD53DE" w:rsidP="00FD53DE">
      <w:pPr>
        <w:spacing w:after="0" w:line="480" w:lineRule="auto"/>
        <w:rPr>
          <w:b/>
          <w:bCs/>
          <w:lang w:val="en-US"/>
        </w:rPr>
      </w:pPr>
      <w:r w:rsidRPr="003E78B0">
        <w:rPr>
          <w:b/>
          <w:bCs/>
          <w:lang w:val="en-US"/>
        </w:rPr>
        <w:t>Recommendation 1: Utilize contextualized women-centered intervention designs</w:t>
      </w:r>
    </w:p>
    <w:p w14:paraId="257C62B0" w14:textId="77777777" w:rsidR="00FD53DE" w:rsidRDefault="00FD53DE" w:rsidP="00FD53DE">
      <w:pPr>
        <w:spacing w:after="0" w:line="480" w:lineRule="auto"/>
        <w:ind w:firstLine="720"/>
        <w:rPr>
          <w:lang w:val="en-US"/>
        </w:rPr>
      </w:pPr>
      <w:r>
        <w:rPr>
          <w:lang w:val="en-US"/>
        </w:rPr>
        <w:t>The project proposal reported herein narrows its focus on the Latino female population, based on evidence of relatively poor medication adherence among women compared to men. A longitudinal study by Chen et al. (2014), found that male patients adhere more effectively to medication than their female counterparts. The current project acknowledges gender mediated risk factors associated with non-adherence, thus would benefit from integrating gender-appropriate instruction and expertise to help empower patients to exercise better behavioral discretion regarding their long-term illness. When integrated into clinical practice, this recommendation would result in utilization of gender-specific educational strategies to make its interventions more targeted and impactful to women.</w:t>
      </w:r>
    </w:p>
    <w:p w14:paraId="2FE2BAE7" w14:textId="77777777" w:rsidR="00FD53DE" w:rsidRPr="003E78B0" w:rsidRDefault="00FD53DE" w:rsidP="00FD53DE">
      <w:pPr>
        <w:spacing w:after="0" w:line="480" w:lineRule="auto"/>
        <w:rPr>
          <w:b/>
          <w:bCs/>
          <w:lang w:val="en-US"/>
        </w:rPr>
      </w:pPr>
      <w:r w:rsidRPr="003E78B0">
        <w:rPr>
          <w:b/>
          <w:bCs/>
          <w:lang w:val="en-US"/>
        </w:rPr>
        <w:t>Recommendation 2: Identify and exploit community buy-ins to ensure interventions are localized or designed to work with local partners</w:t>
      </w:r>
    </w:p>
    <w:p w14:paraId="2828F5E7" w14:textId="77777777" w:rsidR="00FD53DE" w:rsidRDefault="00FD53DE" w:rsidP="00FD53DE">
      <w:pPr>
        <w:spacing w:after="0" w:line="480" w:lineRule="auto"/>
        <w:ind w:firstLine="720"/>
        <w:rPr>
          <w:lang w:val="en-US"/>
        </w:rPr>
      </w:pPr>
      <w:r>
        <w:rPr>
          <w:lang w:val="en-US"/>
        </w:rPr>
        <w:t xml:space="preserve">Community buy-ins refer to the commitment of interested or affected parties to a process, plan, task, or end. The foundational interpretation is that a party gives one thing in return for </w:t>
      </w:r>
      <w:r>
        <w:rPr>
          <w:lang w:val="en-US"/>
        </w:rPr>
        <w:lastRenderedPageBreak/>
        <w:t xml:space="preserve">another. In the context of community health, it may mean that a community leader is willing to help community members by spreading word about an incentivized health program at a local gathering such as in a church or neighborhood meetings. The spectrum of things that would be considered community buy-in is generally expansive and each may offer unique benefits to both parties in terms of outreach and outcome. In the current project, we recognize the uniqueness of the Latino cultural experience relative to mainstream healthcare and the cultural barriers that may impede the project’s ability to </w:t>
      </w:r>
      <w:r w:rsidRPr="0024529F">
        <w:rPr>
          <w:lang w:val="en-US"/>
        </w:rPr>
        <w:t>permeate</w:t>
      </w:r>
      <w:r>
        <w:rPr>
          <w:lang w:val="en-US"/>
        </w:rPr>
        <w:t xml:space="preserve"> local communities. To address this problem, we recommend that the project should be tactical in its actions intended to identify and exploit community buy-ins as a way of building trust, getting the word out, and helping to foster interest of the target population in the project. With viable community buy-ins, the project’s clinical implication is that it establishes meaningful relationships with the Latino community, which then improves its sustainability as the organization is forced to commit to continuing those relationships as a gateway to the community.</w:t>
      </w:r>
    </w:p>
    <w:p w14:paraId="466E6B6B" w14:textId="77777777" w:rsidR="00FD53DE" w:rsidRPr="00BF5862" w:rsidRDefault="00FD53DE" w:rsidP="00FD53DE">
      <w:pPr>
        <w:spacing w:after="0" w:line="480" w:lineRule="auto"/>
        <w:rPr>
          <w:b/>
          <w:bCs/>
          <w:lang w:val="en-US"/>
        </w:rPr>
      </w:pPr>
      <w:r w:rsidRPr="00BF5862">
        <w:rPr>
          <w:b/>
          <w:bCs/>
          <w:lang w:val="en-US"/>
        </w:rPr>
        <w:t>Recommendation 3: Commit to long-term donor programming to ensure the project is not short-term or one-off</w:t>
      </w:r>
    </w:p>
    <w:p w14:paraId="151BD32C" w14:textId="77777777" w:rsidR="00FD53DE" w:rsidRDefault="00FD53DE" w:rsidP="00FD53DE">
      <w:pPr>
        <w:spacing w:after="0" w:line="480" w:lineRule="auto"/>
        <w:ind w:firstLine="720"/>
        <w:rPr>
          <w:b/>
          <w:bCs/>
          <w:lang w:val="en-US"/>
        </w:rPr>
      </w:pPr>
      <w:r>
        <w:rPr>
          <w:lang w:val="en-US"/>
        </w:rPr>
        <w:t>The continuity of the current project partly, and importantly so, depends as much on external financiers and partners as it does on the implementing organization. To be sustainable, the project must meet its financial needs consistently and over the long-term. To meet this obligation, we recommend a commitment by the organization and the project stakeholders to establish long-term relationships with donors to ensure the project continues long after its initial implementation. Such concrete pledge of support could result in quality improvement as the project becomes more effective in reducing disparities in health outcomes.</w:t>
      </w:r>
    </w:p>
    <w:p w14:paraId="6780F6A7" w14:textId="77777777" w:rsidR="00FD53DE" w:rsidRPr="00595080" w:rsidRDefault="00FD53DE" w:rsidP="00FD53DE">
      <w:pPr>
        <w:spacing w:after="0" w:line="480" w:lineRule="auto"/>
        <w:rPr>
          <w:b/>
          <w:bCs/>
          <w:lang w:val="en-US"/>
        </w:rPr>
      </w:pPr>
      <w:r w:rsidRPr="00595080">
        <w:rPr>
          <w:b/>
          <w:bCs/>
          <w:lang w:val="en-US"/>
        </w:rPr>
        <w:lastRenderedPageBreak/>
        <w:t>Recommendation 4: Report on impact using metrics that both the organization and other prominent stakeholders recognize</w:t>
      </w:r>
    </w:p>
    <w:p w14:paraId="5983634C" w14:textId="77777777" w:rsidR="00FD53DE" w:rsidRDefault="00FD53DE" w:rsidP="00FD53DE">
      <w:pPr>
        <w:spacing w:after="0" w:line="480" w:lineRule="auto"/>
        <w:ind w:firstLine="720"/>
        <w:rPr>
          <w:lang w:val="en-US"/>
        </w:rPr>
      </w:pPr>
      <w:r>
        <w:rPr>
          <w:lang w:val="en-US"/>
        </w:rPr>
        <w:t xml:space="preserve">Since this project draws from both internal and external resource pools, it would naturally be required to measure and report impact both internally and externally. It is noteworthy that these sets of stakeholders may have different ways of measuring and reporting impact based on their subjective rules and standards. To ensure that all metrics are aligned with reporting frameworks established by each relevant stakeholder, we recommend recognition of those frameworks and compliance with each of their requirements to </w:t>
      </w:r>
      <w:r w:rsidRPr="00B022DE">
        <w:rPr>
          <w:lang w:val="en-US"/>
        </w:rPr>
        <w:t>appease</w:t>
      </w:r>
      <w:r>
        <w:rPr>
          <w:lang w:val="en-US"/>
        </w:rPr>
        <w:t xml:space="preserve"> each stakeholder based on their interests in the project. Each stakeholder within its context, the organization would generally be interested in metrics and reports on the impact of the project on improving health outcomes and reducing ethnic and racial disparities of health that disadvantage Latinos. Conversely, external stakeholders, for instance, donors, would be interested in metrics and reports on the balance between impact and value of their investment. This recommendation ensures accountability to stakeholders.</w:t>
      </w:r>
    </w:p>
    <w:p w14:paraId="20853367" w14:textId="77777777" w:rsidR="00FD53DE" w:rsidRPr="0063334A" w:rsidRDefault="00FD53DE" w:rsidP="00FD53DE">
      <w:pPr>
        <w:spacing w:after="0" w:line="480" w:lineRule="auto"/>
        <w:jc w:val="center"/>
        <w:rPr>
          <w:b/>
          <w:bCs/>
          <w:lang w:val="en-US"/>
        </w:rPr>
      </w:pPr>
      <w:r w:rsidRPr="0063334A">
        <w:rPr>
          <w:b/>
          <w:bCs/>
          <w:lang w:val="en-US"/>
        </w:rPr>
        <w:t>Limitations of the Study</w:t>
      </w:r>
    </w:p>
    <w:p w14:paraId="3111B343" w14:textId="77777777" w:rsidR="00FD53DE" w:rsidRDefault="00FD53DE" w:rsidP="00FD53DE">
      <w:pPr>
        <w:spacing w:after="0" w:line="480" w:lineRule="auto"/>
        <w:ind w:firstLine="720"/>
        <w:rPr>
          <w:lang w:val="en-US"/>
        </w:rPr>
      </w:pPr>
      <w:r>
        <w:rPr>
          <w:lang w:val="en-US"/>
        </w:rPr>
        <w:t xml:space="preserve">The most prominent foreseeable limitation of the current project is cultural bias that would arise from working with Latino women. This limitation may be reflected in how information about them is interpreted or how they are represented in the project processes. For instance, cultural bias may be perpetuated by assuming that Latinos have the same values and views on most health issues as their non-Hispanic counterparts, thus outcomes in psychological empowerment should be consistent across all races and ethnicities. To avoid perpetuating cultural bias, it is incumbent upon the researcher and subsequent project owners to learn and </w:t>
      </w:r>
      <w:r>
        <w:rPr>
          <w:lang w:val="en-US"/>
        </w:rPr>
        <w:lastRenderedPageBreak/>
        <w:t>hone their skills in cultural competence; to be unassuming of the differences that make Latinos unique from the rest of the American population in terms of their beliefs and values on health.</w:t>
      </w:r>
    </w:p>
    <w:p w14:paraId="0F16D7B3" w14:textId="77777777" w:rsidR="00FD53DE" w:rsidRDefault="00FD53DE" w:rsidP="00FD53DE">
      <w:pPr>
        <w:spacing w:after="0" w:line="480" w:lineRule="auto"/>
        <w:ind w:firstLine="720"/>
        <w:rPr>
          <w:lang w:val="en-US"/>
        </w:rPr>
      </w:pPr>
      <w:r>
        <w:rPr>
          <w:lang w:val="en-US"/>
        </w:rPr>
        <w:t>The recommendations listed for this project are made within the reasonable expectation that the project will be as impactful as it is intended and desired to be. Future research may benefit significantly from addressing the cultural bias limitation, which can help them improve project outcomes. This calls for lifelong learning to improve one’s skills in cultural competence. We suggest, therefore, that future research should consider cultural competence a core skill required to effectively intervene in medication adherence among Latinos in general.</w:t>
      </w:r>
    </w:p>
    <w:p w14:paraId="7A5DB701" w14:textId="77777777" w:rsidR="00FD53DE" w:rsidRDefault="00FD53DE" w:rsidP="00FD53DE">
      <w:pPr>
        <w:spacing w:after="0" w:line="480" w:lineRule="auto"/>
        <w:ind w:firstLine="720"/>
        <w:rPr>
          <w:lang w:val="en-US"/>
        </w:rPr>
      </w:pPr>
      <w:r>
        <w:rPr>
          <w:lang w:val="en-US"/>
        </w:rPr>
        <w:t>As the project calls for behavioral change through psychological empowerment, notably with the perspective of Theory of Planned Behavior (TPB) and Precaution Adoption Process Model (PAPM) in mind, it attains clarity of outcome through its rather simplistic intervention that merely looks to understand and dispel the causes of non-adherent behavior. Given the circumstances behind non-adherence as presented in the literature, this project is fundamentally concerned with promoting self-efficacy in medication adherence – an issue that highlights the disparities in health that disadvantage Latino females.</w:t>
      </w:r>
    </w:p>
    <w:p w14:paraId="78429E6A" w14:textId="77777777" w:rsidR="00FD53DE" w:rsidRPr="00755C63" w:rsidRDefault="00FD53DE" w:rsidP="00FD53DE">
      <w:pPr>
        <w:spacing w:after="0"/>
        <w:rPr>
          <w:rFonts w:cs="Times New Roman"/>
          <w:b/>
          <w:bCs/>
          <w:szCs w:val="24"/>
          <w:lang w:val="en-US"/>
        </w:rPr>
      </w:pPr>
      <w:r>
        <w:rPr>
          <w:b/>
          <w:bCs/>
          <w:lang w:val="en-US"/>
        </w:rPr>
        <w:br w:type="page"/>
      </w:r>
    </w:p>
    <w:p w14:paraId="2EC44EDB" w14:textId="77777777" w:rsidR="00FD53DE" w:rsidRPr="00755C63" w:rsidRDefault="00FD53DE" w:rsidP="00FD53DE">
      <w:pPr>
        <w:spacing w:after="0" w:line="480" w:lineRule="auto"/>
        <w:jc w:val="center"/>
        <w:rPr>
          <w:rFonts w:cs="Times New Roman"/>
          <w:szCs w:val="24"/>
          <w:lang w:val="en-US"/>
        </w:rPr>
      </w:pPr>
      <w:r w:rsidRPr="00755C63">
        <w:rPr>
          <w:rFonts w:cs="Times New Roman"/>
          <w:b/>
          <w:bCs/>
          <w:szCs w:val="24"/>
          <w:lang w:val="en-US"/>
        </w:rPr>
        <w:lastRenderedPageBreak/>
        <w:t>References</w:t>
      </w:r>
    </w:p>
    <w:p w14:paraId="3C11F543" w14:textId="77777777" w:rsidR="00FD53DE" w:rsidRDefault="00FD53DE" w:rsidP="00FD53DE">
      <w:pPr>
        <w:spacing w:after="0" w:line="480" w:lineRule="auto"/>
        <w:ind w:left="720" w:hanging="720"/>
        <w:rPr>
          <w:rStyle w:val="Hyperlink"/>
          <w:rFonts w:cs="Times New Roman"/>
          <w:szCs w:val="24"/>
          <w:lang w:val="en-US"/>
        </w:rPr>
      </w:pPr>
      <w:r w:rsidRPr="00755C63">
        <w:rPr>
          <w:rFonts w:cs="Times New Roman"/>
          <w:szCs w:val="24"/>
          <w:lang w:val="en-US"/>
        </w:rPr>
        <w:t xml:space="preserve">AlHewiti, A. (2014). Adherence to long-term therapies and beliefs about medications. </w:t>
      </w:r>
      <w:r w:rsidRPr="00755C63">
        <w:rPr>
          <w:rFonts w:cs="Times New Roman"/>
          <w:i/>
          <w:iCs/>
          <w:szCs w:val="24"/>
          <w:lang w:val="en-US"/>
        </w:rPr>
        <w:t>International Journal of Family Medicine, 2014</w:t>
      </w:r>
      <w:r w:rsidRPr="00755C63">
        <w:rPr>
          <w:rFonts w:cs="Times New Roman"/>
          <w:szCs w:val="24"/>
          <w:lang w:val="en-US"/>
        </w:rPr>
        <w:t xml:space="preserve">, 1-8. </w:t>
      </w:r>
      <w:hyperlink r:id="rId5" w:history="1">
        <w:r w:rsidRPr="00755C63">
          <w:rPr>
            <w:rStyle w:val="Hyperlink"/>
            <w:rFonts w:cs="Times New Roman"/>
            <w:szCs w:val="24"/>
            <w:lang w:val="en-US"/>
          </w:rPr>
          <w:t>http://dx.doi.org/10.1155/2014/479596</w:t>
        </w:r>
      </w:hyperlink>
    </w:p>
    <w:p w14:paraId="17FACCAE" w14:textId="77777777" w:rsidR="00FD53DE" w:rsidRDefault="00FD53DE" w:rsidP="00FD53DE">
      <w:pPr>
        <w:spacing w:after="0" w:line="480" w:lineRule="auto"/>
        <w:ind w:left="720" w:hanging="720"/>
        <w:rPr>
          <w:rFonts w:cs="Times New Roman"/>
          <w:szCs w:val="24"/>
        </w:rPr>
      </w:pPr>
      <w:r w:rsidRPr="00093A3D">
        <w:rPr>
          <w:rFonts w:cs="Times New Roman"/>
          <w:szCs w:val="24"/>
        </w:rPr>
        <w:t>Alligood, M. R. (2018). Nursing theorists and their work (9th edition). Elsevier Inc.</w:t>
      </w:r>
    </w:p>
    <w:p w14:paraId="0B8AF1AD" w14:textId="77777777" w:rsidR="00FD53DE" w:rsidRPr="00093A3D" w:rsidRDefault="00FD53DE" w:rsidP="00FD53DE">
      <w:pPr>
        <w:spacing w:after="0" w:line="480" w:lineRule="auto"/>
        <w:ind w:left="720" w:hanging="720"/>
        <w:rPr>
          <w:rFonts w:cs="Times New Roman"/>
          <w:szCs w:val="24"/>
        </w:rPr>
      </w:pPr>
      <w:r w:rsidRPr="000229B8">
        <w:rPr>
          <w:rFonts w:cs="Times New Roman"/>
          <w:szCs w:val="24"/>
        </w:rPr>
        <w:t xml:space="preserve">American Thyroid Association. (2020). Clinical thyroidology for the public. </w:t>
      </w:r>
      <w:r w:rsidRPr="000229B8">
        <w:rPr>
          <w:rFonts w:cs="Times New Roman"/>
          <w:i/>
          <w:iCs/>
          <w:szCs w:val="24"/>
        </w:rPr>
        <w:t>American Thyroid Association, 13</w:t>
      </w:r>
      <w:r w:rsidRPr="000229B8">
        <w:rPr>
          <w:rFonts w:cs="Times New Roman"/>
          <w:szCs w:val="24"/>
        </w:rPr>
        <w:t>(1), 1-18.</w:t>
      </w:r>
    </w:p>
    <w:p w14:paraId="6C6631BE" w14:textId="77777777" w:rsidR="00FD53DE" w:rsidRPr="00093A3D" w:rsidRDefault="00FD53DE" w:rsidP="00FD53DE">
      <w:pPr>
        <w:spacing w:after="0" w:line="480" w:lineRule="auto"/>
        <w:ind w:left="720" w:hanging="720"/>
        <w:rPr>
          <w:rFonts w:cs="Times New Roman"/>
          <w:szCs w:val="24"/>
        </w:rPr>
      </w:pPr>
      <w:r w:rsidRPr="00093A3D">
        <w:rPr>
          <w:rFonts w:cs="Times New Roman"/>
          <w:szCs w:val="24"/>
        </w:rPr>
        <w:t xml:space="preserve">Arafat, Y., &amp; Ibrahim, M. I. M. (2018). The use of measurements and health behavioral models to improve medication adherence. In M. I. M. Ibrahim, A. I. Wertheimer, &amp; Z. Babar (eds.). </w:t>
      </w:r>
      <w:r w:rsidRPr="00093A3D">
        <w:rPr>
          <w:rFonts w:cs="Times New Roman"/>
          <w:i/>
          <w:iCs/>
          <w:szCs w:val="24"/>
        </w:rPr>
        <w:t>Social and administrative aspects of pharmacy in low- and middle-income countries: Present challenges and future solutions</w:t>
      </w:r>
      <w:r w:rsidRPr="00093A3D">
        <w:rPr>
          <w:rFonts w:cs="Times New Roman"/>
          <w:szCs w:val="24"/>
        </w:rPr>
        <w:t xml:space="preserve">. Academic Press (pp. 53-69). </w:t>
      </w:r>
      <w:hyperlink r:id="rId6" w:history="1">
        <w:r w:rsidRPr="00093A3D">
          <w:rPr>
            <w:rStyle w:val="Hyperlink"/>
            <w:rFonts w:cs="Times New Roman"/>
            <w:szCs w:val="24"/>
          </w:rPr>
          <w:t>https://doi.org/10.1016/B978-0-12-811228-1.00004-2</w:t>
        </w:r>
      </w:hyperlink>
    </w:p>
    <w:p w14:paraId="278F3332" w14:textId="77777777" w:rsidR="00FD53DE" w:rsidRDefault="00FD53DE" w:rsidP="00FD53DE">
      <w:pPr>
        <w:spacing w:after="0" w:line="480" w:lineRule="auto"/>
        <w:ind w:left="720" w:hanging="720"/>
        <w:rPr>
          <w:rStyle w:val="Hyperlink"/>
          <w:rFonts w:cs="Times New Roman"/>
          <w:szCs w:val="24"/>
        </w:rPr>
      </w:pPr>
      <w:r w:rsidRPr="00755C63">
        <w:rPr>
          <w:rFonts w:cs="Times New Roman"/>
          <w:szCs w:val="24"/>
        </w:rPr>
        <w:t xml:space="preserve">Bryant-Lukosius, D., Valaitis, R., Martin-Misener, R., Donald, F., Peña, L. M., &amp; Brousseau, L. (2017). Advanced practice nursing: A strategy for achieving universal health coverage and universal access to health. </w:t>
      </w:r>
      <w:r w:rsidRPr="00755C63">
        <w:rPr>
          <w:rFonts w:cs="Times New Roman"/>
          <w:i/>
          <w:iCs/>
          <w:szCs w:val="24"/>
        </w:rPr>
        <w:t>Revista Latino-Americana de Enfermagem, 25</w:t>
      </w:r>
      <w:r w:rsidRPr="00755C63">
        <w:rPr>
          <w:rFonts w:cs="Times New Roman"/>
          <w:szCs w:val="24"/>
        </w:rPr>
        <w:t xml:space="preserve">(PMC5288863). </w:t>
      </w:r>
      <w:hyperlink r:id="rId7" w:history="1">
        <w:r w:rsidRPr="00755C63">
          <w:rPr>
            <w:rStyle w:val="Hyperlink"/>
            <w:rFonts w:cs="Times New Roman"/>
            <w:szCs w:val="24"/>
          </w:rPr>
          <w:t>https://dx.doi.org/10.1590%2F1518-8345.1677.2826</w:t>
        </w:r>
      </w:hyperlink>
    </w:p>
    <w:p w14:paraId="3BABD1AB" w14:textId="77777777" w:rsidR="00FD53DE" w:rsidRPr="00B66636" w:rsidRDefault="00FD53DE" w:rsidP="00FD53DE">
      <w:pPr>
        <w:spacing w:after="0" w:line="480" w:lineRule="auto"/>
        <w:ind w:left="720" w:hanging="720"/>
        <w:rPr>
          <w:rStyle w:val="Hyperlink"/>
          <w:rFonts w:cs="Times New Roman"/>
          <w:color w:val="auto"/>
          <w:szCs w:val="24"/>
          <w:u w:val="none"/>
        </w:rPr>
      </w:pPr>
      <w:r w:rsidRPr="009247C9">
        <w:rPr>
          <w:rFonts w:cs="Times New Roman"/>
          <w:szCs w:val="24"/>
        </w:rPr>
        <w:t>Castillo-Gonzalez, D. A., Dorsey-Trevino, E. G., Gonzalez-Gonzalez, J. G., Garcia-Leal, M., Bautista-Orduño, K. G., Raygoza, K., ... &amp; Rodriguez-Gutierrez, R. (2020). A deeper analysis in thyroid research: A meta-epidemiological study of the American Thyroid Association clinical guidelines. </w:t>
      </w:r>
      <w:r w:rsidRPr="009247C9">
        <w:rPr>
          <w:rFonts w:cs="Times New Roman"/>
          <w:i/>
          <w:iCs/>
          <w:szCs w:val="24"/>
        </w:rPr>
        <w:t>PloS One</w:t>
      </w:r>
      <w:r w:rsidRPr="009247C9">
        <w:rPr>
          <w:rFonts w:cs="Times New Roman"/>
          <w:szCs w:val="24"/>
        </w:rPr>
        <w:t>, </w:t>
      </w:r>
      <w:r w:rsidRPr="009247C9">
        <w:rPr>
          <w:rFonts w:cs="Times New Roman"/>
          <w:i/>
          <w:iCs/>
          <w:szCs w:val="24"/>
        </w:rPr>
        <w:t>15</w:t>
      </w:r>
      <w:r w:rsidRPr="009247C9">
        <w:rPr>
          <w:rFonts w:cs="Times New Roman"/>
          <w:szCs w:val="24"/>
        </w:rPr>
        <w:t xml:space="preserve">(6), e0234297. </w:t>
      </w:r>
      <w:hyperlink r:id="rId8" w:history="1">
        <w:r w:rsidRPr="009247C9">
          <w:rPr>
            <w:rStyle w:val="Hyperlink"/>
            <w:rFonts w:cs="Times New Roman"/>
            <w:szCs w:val="24"/>
          </w:rPr>
          <w:t>https://doi.org/10.1371/journal.pone.0234297</w:t>
        </w:r>
      </w:hyperlink>
    </w:p>
    <w:p w14:paraId="4997520E" w14:textId="77777777" w:rsidR="00FD53DE" w:rsidRDefault="00FD53DE" w:rsidP="00FD53DE">
      <w:pPr>
        <w:spacing w:after="0" w:line="480" w:lineRule="auto"/>
        <w:ind w:left="720" w:hanging="720"/>
      </w:pPr>
      <w:r w:rsidRPr="00140493">
        <w:lastRenderedPageBreak/>
        <w:t xml:space="preserve">Chen, S. L., Lee, W. L., Liang, T., &amp; Liao, I. C. (2014). Factors associated with gender differences in medication adherence: </w:t>
      </w:r>
      <w:r>
        <w:t>A</w:t>
      </w:r>
      <w:r w:rsidRPr="00140493">
        <w:t xml:space="preserve"> longitudinal study. </w:t>
      </w:r>
      <w:r w:rsidRPr="00140493">
        <w:rPr>
          <w:i/>
          <w:iCs/>
        </w:rPr>
        <w:t>Journal of Advanced Nursing</w:t>
      </w:r>
      <w:r w:rsidRPr="00140493">
        <w:t>, </w:t>
      </w:r>
      <w:r w:rsidRPr="00140493">
        <w:rPr>
          <w:i/>
          <w:iCs/>
        </w:rPr>
        <w:t>70</w:t>
      </w:r>
      <w:r w:rsidRPr="00140493">
        <w:t xml:space="preserve">(9), 2031–2040. </w:t>
      </w:r>
      <w:hyperlink r:id="rId9" w:history="1">
        <w:r w:rsidRPr="00545712">
          <w:rPr>
            <w:rStyle w:val="Hyperlink"/>
          </w:rPr>
          <w:t>https://doi.org/10.1111/jan.12361</w:t>
        </w:r>
      </w:hyperlink>
    </w:p>
    <w:p w14:paraId="4D33C11F" w14:textId="77777777" w:rsidR="00FD53DE" w:rsidRPr="00755C63" w:rsidRDefault="00FD53DE" w:rsidP="00FD53DE">
      <w:pPr>
        <w:spacing w:after="0" w:line="480" w:lineRule="auto"/>
        <w:ind w:left="720" w:hanging="720"/>
        <w:rPr>
          <w:rFonts w:cs="Times New Roman"/>
          <w:szCs w:val="24"/>
        </w:rPr>
      </w:pPr>
      <w:r w:rsidRPr="00755C63">
        <w:rPr>
          <w:rFonts w:cs="Times New Roman"/>
          <w:szCs w:val="24"/>
        </w:rPr>
        <w:t>Costa, E., Giardini, A., Savin, M., Menditto, E., Lehane, E., Laosa, O., Pecorelli, S., Monaco, A., &amp; Marengoni, A. (2015). Interventional tools to improve medication adherence: review of literature. </w:t>
      </w:r>
      <w:r w:rsidRPr="00755C63">
        <w:rPr>
          <w:rFonts w:cs="Times New Roman"/>
          <w:i/>
          <w:iCs/>
          <w:szCs w:val="24"/>
        </w:rPr>
        <w:t>Patient preference and adherence</w:t>
      </w:r>
      <w:r w:rsidRPr="00755C63">
        <w:rPr>
          <w:rFonts w:cs="Times New Roman"/>
          <w:szCs w:val="24"/>
        </w:rPr>
        <w:t>, </w:t>
      </w:r>
      <w:r w:rsidRPr="00755C63">
        <w:rPr>
          <w:rFonts w:cs="Times New Roman"/>
          <w:i/>
          <w:iCs/>
          <w:szCs w:val="24"/>
        </w:rPr>
        <w:t>9</w:t>
      </w:r>
      <w:r w:rsidRPr="00755C63">
        <w:rPr>
          <w:rFonts w:cs="Times New Roman"/>
          <w:szCs w:val="24"/>
        </w:rPr>
        <w:t xml:space="preserve">, 1303–1314. </w:t>
      </w:r>
      <w:hyperlink r:id="rId10" w:history="1">
        <w:r w:rsidRPr="00755C63">
          <w:rPr>
            <w:rStyle w:val="Hyperlink"/>
            <w:rFonts w:cs="Times New Roman"/>
            <w:szCs w:val="24"/>
          </w:rPr>
          <w:t>https://doi.org/10.2147/PPA.S87551</w:t>
        </w:r>
      </w:hyperlink>
    </w:p>
    <w:p w14:paraId="55849A87" w14:textId="77777777" w:rsidR="00FD53DE" w:rsidRDefault="00FD53DE" w:rsidP="00FD53DE">
      <w:pPr>
        <w:spacing w:after="0" w:line="480" w:lineRule="auto"/>
        <w:ind w:left="720" w:hanging="720"/>
        <w:rPr>
          <w:rStyle w:val="Hyperlink"/>
          <w:rFonts w:cs="Times New Roman"/>
          <w:szCs w:val="24"/>
        </w:rPr>
      </w:pPr>
      <w:r w:rsidRPr="00755C63">
        <w:rPr>
          <w:rFonts w:cs="Times New Roman"/>
          <w:szCs w:val="24"/>
        </w:rPr>
        <w:t>Gast, A., &amp; Mathes, T. (2019). Medication adherence influencing factors—an (updated) overview of systematic reviews. </w:t>
      </w:r>
      <w:r w:rsidRPr="00755C63">
        <w:rPr>
          <w:rFonts w:cs="Times New Roman"/>
          <w:i/>
          <w:iCs/>
          <w:szCs w:val="24"/>
        </w:rPr>
        <w:t>Systematic reviews</w:t>
      </w:r>
      <w:r w:rsidRPr="00755C63">
        <w:rPr>
          <w:rFonts w:cs="Times New Roman"/>
          <w:szCs w:val="24"/>
        </w:rPr>
        <w:t>, </w:t>
      </w:r>
      <w:r w:rsidRPr="00755C63">
        <w:rPr>
          <w:rFonts w:cs="Times New Roman"/>
          <w:i/>
          <w:iCs/>
          <w:szCs w:val="24"/>
        </w:rPr>
        <w:t>8</w:t>
      </w:r>
      <w:r w:rsidRPr="00755C63">
        <w:rPr>
          <w:rFonts w:cs="Times New Roman"/>
          <w:szCs w:val="24"/>
        </w:rPr>
        <w:t xml:space="preserve">(1), 1-17. </w:t>
      </w:r>
      <w:hyperlink r:id="rId11" w:history="1">
        <w:r w:rsidRPr="00755C63">
          <w:rPr>
            <w:rStyle w:val="Hyperlink"/>
            <w:rFonts w:cs="Times New Roman"/>
            <w:szCs w:val="24"/>
          </w:rPr>
          <w:t>https://doi.org/10.1186/s13643-019-1014-8</w:t>
        </w:r>
      </w:hyperlink>
    </w:p>
    <w:p w14:paraId="5B2905D5" w14:textId="77777777" w:rsidR="00FD53DE" w:rsidRPr="009247C9" w:rsidRDefault="00FD53DE" w:rsidP="00FD53DE">
      <w:pPr>
        <w:spacing w:after="0" w:line="480" w:lineRule="auto"/>
        <w:ind w:left="720" w:hanging="720"/>
        <w:rPr>
          <w:rFonts w:cs="Times New Roman"/>
          <w:szCs w:val="24"/>
        </w:rPr>
      </w:pPr>
      <w:r w:rsidRPr="009247C9">
        <w:rPr>
          <w:rFonts w:cs="Times New Roman"/>
          <w:szCs w:val="24"/>
        </w:rPr>
        <w:t>Hannoodee, S., &amp; Dhamoon, A. S. (2021). Nursing Neuman Systems Model. </w:t>
      </w:r>
      <w:r w:rsidRPr="009247C9">
        <w:rPr>
          <w:rFonts w:cs="Times New Roman"/>
          <w:i/>
          <w:iCs/>
          <w:szCs w:val="24"/>
        </w:rPr>
        <w:t>StatPearls</w:t>
      </w:r>
      <w:r w:rsidRPr="009247C9">
        <w:rPr>
          <w:rFonts w:cs="Times New Roman"/>
          <w:szCs w:val="24"/>
        </w:rPr>
        <w:t xml:space="preserve">. </w:t>
      </w:r>
      <w:hyperlink r:id="rId12" w:history="1">
        <w:r w:rsidRPr="009247C9">
          <w:rPr>
            <w:rStyle w:val="Hyperlink"/>
            <w:rFonts w:cs="Times New Roman"/>
            <w:szCs w:val="24"/>
          </w:rPr>
          <w:t>https://www.ncbi.nlm.nih.gov/books/NBK560658/</w:t>
        </w:r>
      </w:hyperlink>
    </w:p>
    <w:p w14:paraId="4FD19F95" w14:textId="77777777" w:rsidR="00FD53DE" w:rsidRPr="000229B8" w:rsidRDefault="00FD53DE" w:rsidP="00FD53DE">
      <w:pPr>
        <w:spacing w:after="0" w:line="480" w:lineRule="auto"/>
        <w:ind w:left="720" w:hanging="720"/>
        <w:rPr>
          <w:rFonts w:cs="Times New Roman"/>
          <w:szCs w:val="24"/>
        </w:rPr>
      </w:pPr>
      <w:r w:rsidRPr="000229B8">
        <w:rPr>
          <w:rFonts w:cs="Times New Roman"/>
          <w:szCs w:val="24"/>
        </w:rPr>
        <w:t xml:space="preserve">Hepp, Z., Wyne, K., Manthena, S. R., Wang, S., &amp; Gossain, V. (2018). Adherence to thyroid hormone replacement therapy: A retrospective, claims database analysis. </w:t>
      </w:r>
      <w:r w:rsidRPr="000229B8">
        <w:rPr>
          <w:rFonts w:cs="Times New Roman"/>
          <w:i/>
          <w:iCs/>
          <w:szCs w:val="24"/>
        </w:rPr>
        <w:t>Current Medical Research and Opinion, 34</w:t>
      </w:r>
      <w:r w:rsidRPr="000229B8">
        <w:rPr>
          <w:rFonts w:cs="Times New Roman"/>
          <w:szCs w:val="24"/>
        </w:rPr>
        <w:t xml:space="preserve">(9), 1673-1678. </w:t>
      </w:r>
      <w:hyperlink r:id="rId13" w:history="1">
        <w:r w:rsidRPr="000229B8">
          <w:rPr>
            <w:rStyle w:val="Hyperlink"/>
            <w:rFonts w:cs="Times New Roman"/>
            <w:szCs w:val="24"/>
          </w:rPr>
          <w:t>https://doi.org/10.1080/03007995.2018.1486293</w:t>
        </w:r>
      </w:hyperlink>
    </w:p>
    <w:p w14:paraId="37E403DA" w14:textId="77777777" w:rsidR="00FD53DE" w:rsidRDefault="00FD53DE" w:rsidP="00FD53DE">
      <w:pPr>
        <w:spacing w:after="0" w:line="480" w:lineRule="auto"/>
        <w:ind w:left="720" w:hanging="720"/>
        <w:rPr>
          <w:rStyle w:val="Hyperlink"/>
          <w:rFonts w:cs="Times New Roman"/>
          <w:szCs w:val="24"/>
          <w:lang w:val="en-US"/>
        </w:rPr>
      </w:pPr>
      <w:r w:rsidRPr="00755C63">
        <w:rPr>
          <w:rFonts w:cs="Times New Roman"/>
          <w:szCs w:val="24"/>
          <w:lang w:val="en-US"/>
        </w:rPr>
        <w:t xml:space="preserve">Kruczek, N. (2020). Medication adherence programs: Strategies for creating more loyal patients. </w:t>
      </w:r>
      <w:r w:rsidRPr="00755C63">
        <w:rPr>
          <w:rFonts w:cs="Times New Roman"/>
          <w:i/>
          <w:iCs/>
          <w:szCs w:val="24"/>
          <w:lang w:val="en-US"/>
        </w:rPr>
        <w:t>Pharmacy Times</w:t>
      </w:r>
      <w:r w:rsidRPr="00755C63">
        <w:rPr>
          <w:rFonts w:cs="Times New Roman"/>
          <w:szCs w:val="24"/>
          <w:lang w:val="en-US"/>
        </w:rPr>
        <w:t xml:space="preserve">. </w:t>
      </w:r>
      <w:hyperlink r:id="rId14" w:history="1">
        <w:r w:rsidRPr="00755C63">
          <w:rPr>
            <w:rStyle w:val="Hyperlink"/>
            <w:rFonts w:cs="Times New Roman"/>
            <w:szCs w:val="24"/>
            <w:lang w:val="en-US"/>
          </w:rPr>
          <w:t>https://www.pharmacytimes.com/view/medication-adherence-programs-strategies-for-creating-more-loyal-patients</w:t>
        </w:r>
      </w:hyperlink>
    </w:p>
    <w:p w14:paraId="41748B2D" w14:textId="77777777" w:rsidR="00FD53DE" w:rsidRPr="00E95F06" w:rsidRDefault="00FD53DE" w:rsidP="00FD53DE">
      <w:pPr>
        <w:spacing w:after="0" w:line="480" w:lineRule="auto"/>
        <w:ind w:left="720" w:hanging="720"/>
        <w:rPr>
          <w:rStyle w:val="Hyperlink"/>
          <w:rFonts w:cs="Times New Roman"/>
          <w:color w:val="auto"/>
          <w:szCs w:val="24"/>
          <w:u w:val="none"/>
        </w:rPr>
      </w:pPr>
      <w:r w:rsidRPr="000229B8">
        <w:rPr>
          <w:rFonts w:cs="Times New Roman"/>
          <w:szCs w:val="24"/>
        </w:rPr>
        <w:t xml:space="preserve">Kumar, R., &amp; Shaukat, F. (2019). Adherence to levothyroxine table in patients with hypothyroidism. </w:t>
      </w:r>
      <w:r w:rsidRPr="000229B8">
        <w:rPr>
          <w:rFonts w:cs="Times New Roman"/>
          <w:i/>
          <w:iCs/>
          <w:szCs w:val="24"/>
        </w:rPr>
        <w:t>Cureus, 11</w:t>
      </w:r>
      <w:r w:rsidRPr="000229B8">
        <w:rPr>
          <w:rFonts w:cs="Times New Roman"/>
          <w:szCs w:val="24"/>
        </w:rPr>
        <w:t xml:space="preserve">(5), 1-7. </w:t>
      </w:r>
      <w:hyperlink r:id="rId15" w:history="1">
        <w:r w:rsidRPr="000229B8">
          <w:rPr>
            <w:rStyle w:val="Hyperlink"/>
            <w:rFonts w:cs="Times New Roman"/>
            <w:szCs w:val="24"/>
          </w:rPr>
          <w:t>https://doi.org/10.7759/cureus.4624</w:t>
        </w:r>
      </w:hyperlink>
    </w:p>
    <w:p w14:paraId="2F0C140B" w14:textId="77777777" w:rsidR="00FD53DE" w:rsidRPr="00E95F06" w:rsidRDefault="00FD53DE" w:rsidP="00FD53DE">
      <w:pPr>
        <w:spacing w:after="0" w:line="480" w:lineRule="auto"/>
        <w:ind w:left="720" w:hanging="720"/>
        <w:rPr>
          <w:rFonts w:cs="Times New Roman"/>
          <w:szCs w:val="24"/>
        </w:rPr>
      </w:pPr>
      <w:r w:rsidRPr="00093A3D">
        <w:rPr>
          <w:rFonts w:cs="Times New Roman"/>
          <w:szCs w:val="24"/>
        </w:rPr>
        <w:lastRenderedPageBreak/>
        <w:t xml:space="preserve">LaMorte, W. W. (2019). The theory of planned behavior. </w:t>
      </w:r>
      <w:r w:rsidRPr="00093A3D">
        <w:rPr>
          <w:rFonts w:cs="Times New Roman"/>
          <w:i/>
          <w:iCs/>
          <w:szCs w:val="24"/>
        </w:rPr>
        <w:t>Boston University School of Public Health</w:t>
      </w:r>
      <w:r w:rsidRPr="00093A3D">
        <w:rPr>
          <w:rFonts w:cs="Times New Roman"/>
          <w:szCs w:val="24"/>
        </w:rPr>
        <w:t xml:space="preserve">. </w:t>
      </w:r>
      <w:hyperlink r:id="rId16" w:history="1">
        <w:r w:rsidRPr="00093A3D">
          <w:rPr>
            <w:rStyle w:val="Hyperlink"/>
            <w:rFonts w:cs="Times New Roman"/>
            <w:szCs w:val="24"/>
          </w:rPr>
          <w:t>https://sphweb.bumc.bu.edu/otlt/mph-modules/sb/behavioralchangetheories/BehavioralChangeTheories3.html</w:t>
        </w:r>
      </w:hyperlink>
    </w:p>
    <w:p w14:paraId="7D69A38A" w14:textId="77777777" w:rsidR="00FD53DE" w:rsidRPr="00B66636" w:rsidRDefault="00FD53DE" w:rsidP="00FD53DE">
      <w:pPr>
        <w:spacing w:after="0" w:line="480" w:lineRule="auto"/>
        <w:ind w:left="720" w:hanging="720"/>
        <w:rPr>
          <w:rFonts w:cs="Times New Roman"/>
          <w:color w:val="0563C1" w:themeColor="hyperlink"/>
          <w:szCs w:val="24"/>
          <w:u w:val="single"/>
          <w:lang w:val="en-US"/>
        </w:rPr>
      </w:pPr>
      <w:r w:rsidRPr="00755C63">
        <w:rPr>
          <w:rFonts w:cs="Times New Roman"/>
          <w:szCs w:val="24"/>
          <w:lang w:val="en-US"/>
        </w:rPr>
        <w:t xml:space="preserve">Li, A., Olmo, M. G. D., Fong, M., Sim, K., Lymer, S. J., Cunich, M., &amp; Caterson, I. (2021). Effect of a smartphone application (Perx) on medication adherence and clinical outcomes: A 12-month randomized controlled trial. </w:t>
      </w:r>
      <w:r w:rsidRPr="00755C63">
        <w:rPr>
          <w:rFonts w:cs="Times New Roman"/>
          <w:i/>
          <w:iCs/>
          <w:szCs w:val="24"/>
          <w:lang w:val="en-US"/>
        </w:rPr>
        <w:t>BMJ Open, 11</w:t>
      </w:r>
      <w:r w:rsidRPr="00755C63">
        <w:rPr>
          <w:rFonts w:cs="Times New Roman"/>
          <w:szCs w:val="24"/>
          <w:lang w:val="en-US"/>
        </w:rPr>
        <w:t xml:space="preserve">(e047041), 1-12. </w:t>
      </w:r>
      <w:hyperlink r:id="rId17" w:history="1">
        <w:r w:rsidRPr="00755C63">
          <w:rPr>
            <w:rStyle w:val="Hyperlink"/>
            <w:rFonts w:cs="Times New Roman"/>
            <w:szCs w:val="24"/>
            <w:lang w:val="en-US"/>
          </w:rPr>
          <w:t>https://dx.doi.org/10.1136/bmjopen-2020-047041</w:t>
        </w:r>
      </w:hyperlink>
    </w:p>
    <w:p w14:paraId="58B3D227" w14:textId="77777777" w:rsidR="00FD53DE" w:rsidRDefault="00FD53DE" w:rsidP="00FD53DE">
      <w:pPr>
        <w:spacing w:after="0" w:line="480" w:lineRule="auto"/>
        <w:ind w:left="720" w:hanging="720"/>
        <w:rPr>
          <w:rStyle w:val="Hyperlink"/>
          <w:rFonts w:cs="Times New Roman"/>
          <w:szCs w:val="24"/>
        </w:rPr>
      </w:pPr>
      <w:r w:rsidRPr="00755C63">
        <w:rPr>
          <w:rFonts w:cs="Times New Roman"/>
          <w:szCs w:val="24"/>
        </w:rPr>
        <w:t>Martela, F., &amp; Riekki, T. J. (2018). Autonomy, competence, relatedness, and beneficence: A multicultural comparison of the four pathways to meaningful work. </w:t>
      </w:r>
      <w:r w:rsidRPr="00755C63">
        <w:rPr>
          <w:rFonts w:cs="Times New Roman"/>
          <w:i/>
          <w:iCs/>
          <w:szCs w:val="24"/>
        </w:rPr>
        <w:t>Frontiers in psychology</w:t>
      </w:r>
      <w:r w:rsidRPr="00755C63">
        <w:rPr>
          <w:rFonts w:cs="Times New Roman"/>
          <w:szCs w:val="24"/>
        </w:rPr>
        <w:t>, </w:t>
      </w:r>
      <w:r w:rsidRPr="00755C63">
        <w:rPr>
          <w:rFonts w:cs="Times New Roman"/>
          <w:i/>
          <w:iCs/>
          <w:szCs w:val="24"/>
        </w:rPr>
        <w:t>9</w:t>
      </w:r>
      <w:r w:rsidRPr="00755C63">
        <w:rPr>
          <w:rFonts w:cs="Times New Roman"/>
          <w:szCs w:val="24"/>
        </w:rPr>
        <w:t xml:space="preserve">(1157), 1-14. </w:t>
      </w:r>
      <w:hyperlink r:id="rId18" w:history="1">
        <w:r w:rsidRPr="00755C63">
          <w:rPr>
            <w:rStyle w:val="Hyperlink"/>
            <w:rFonts w:cs="Times New Roman"/>
            <w:szCs w:val="24"/>
          </w:rPr>
          <w:t>https://doi.org/10.3389/fpsyg.2018.01157</w:t>
        </w:r>
      </w:hyperlink>
    </w:p>
    <w:p w14:paraId="0592071A" w14:textId="77777777" w:rsidR="00FD53DE" w:rsidRDefault="00FD53DE" w:rsidP="00FD53DE">
      <w:pPr>
        <w:spacing w:after="0" w:line="480" w:lineRule="auto"/>
        <w:ind w:left="720" w:hanging="720"/>
        <w:rPr>
          <w:rFonts w:cs="Times New Roman"/>
          <w:szCs w:val="24"/>
        </w:rPr>
      </w:pPr>
      <w:r w:rsidRPr="0062493C">
        <w:rPr>
          <w:rFonts w:cs="Times New Roman"/>
          <w:szCs w:val="24"/>
        </w:rPr>
        <w:t xml:space="preserve">Mickelson, R., &amp; Holden, R. J. (2018). Medication adherence: Staying within the boundaries of safety. </w:t>
      </w:r>
      <w:r w:rsidRPr="0062493C">
        <w:rPr>
          <w:rFonts w:cs="Times New Roman"/>
          <w:i/>
          <w:iCs/>
          <w:szCs w:val="24"/>
        </w:rPr>
        <w:t>Ergonomics, 61</w:t>
      </w:r>
      <w:r w:rsidRPr="0062493C">
        <w:rPr>
          <w:rFonts w:cs="Times New Roman"/>
          <w:szCs w:val="24"/>
        </w:rPr>
        <w:t xml:space="preserve">(1), 82-103. </w:t>
      </w:r>
      <w:hyperlink r:id="rId19" w:history="1">
        <w:r w:rsidRPr="0062493C">
          <w:rPr>
            <w:rStyle w:val="Hyperlink"/>
            <w:rFonts w:cs="Times New Roman"/>
            <w:szCs w:val="24"/>
          </w:rPr>
          <w:t>https://doi.org/10.1080/00140139.2017.1301574</w:t>
        </w:r>
      </w:hyperlink>
      <w:r w:rsidRPr="0062493C">
        <w:rPr>
          <w:rFonts w:cs="Times New Roman"/>
          <w:szCs w:val="24"/>
        </w:rPr>
        <w:t>.</w:t>
      </w:r>
    </w:p>
    <w:p w14:paraId="4E271742" w14:textId="77777777" w:rsidR="00FD53DE" w:rsidRDefault="00FD53DE" w:rsidP="00FD53DE">
      <w:pPr>
        <w:spacing w:after="0" w:line="480" w:lineRule="auto"/>
        <w:ind w:left="720" w:hanging="720"/>
        <w:rPr>
          <w:rFonts w:cs="Times New Roman"/>
          <w:szCs w:val="24"/>
        </w:rPr>
      </w:pPr>
      <w:r w:rsidRPr="0062493C">
        <w:rPr>
          <w:rFonts w:cs="Times New Roman"/>
          <w:szCs w:val="24"/>
        </w:rPr>
        <w:t xml:space="preserve">Náfrádi, L., Galimberti, E., Nakamoto, K., &amp; Schulz, P. J. (2016). Intentional and unintentional medication non-adherence in hypertension: The role of health literacy, empowerment, and medication beliefs. </w:t>
      </w:r>
      <w:r w:rsidRPr="0062493C">
        <w:rPr>
          <w:rFonts w:cs="Times New Roman"/>
          <w:i/>
          <w:iCs/>
          <w:szCs w:val="24"/>
        </w:rPr>
        <w:t>Journal of Public Health Research, 5</w:t>
      </w:r>
      <w:r w:rsidRPr="0062493C">
        <w:rPr>
          <w:rFonts w:cs="Times New Roman"/>
          <w:szCs w:val="24"/>
        </w:rPr>
        <w:t>(762), 111-115.</w:t>
      </w:r>
    </w:p>
    <w:p w14:paraId="4CB41C43" w14:textId="77777777" w:rsidR="00FD53DE" w:rsidRPr="00755C63" w:rsidRDefault="00FD53DE" w:rsidP="00FD53DE">
      <w:pPr>
        <w:spacing w:after="0" w:line="480" w:lineRule="auto"/>
        <w:ind w:left="720" w:hanging="720"/>
        <w:rPr>
          <w:rFonts w:cs="Times New Roman"/>
          <w:szCs w:val="24"/>
        </w:rPr>
      </w:pPr>
      <w:r w:rsidRPr="000229B8">
        <w:rPr>
          <w:rFonts w:cs="Times New Roman"/>
          <w:szCs w:val="24"/>
        </w:rPr>
        <w:t xml:space="preserve">Nakano, Y., Hashimoto, K., Ohkiba, N., Okuma, H., Minami, I., Takahashi, H., Tanaka, Y., Yoshimoto, T., &amp; Yamada, T. (2019). A case of refractory hypothyroidism due to poor compliance treated with the weekly intravenous and oral levothyroxine administration. </w:t>
      </w:r>
      <w:r w:rsidRPr="000229B8">
        <w:rPr>
          <w:rFonts w:cs="Times New Roman"/>
          <w:i/>
          <w:iCs/>
          <w:szCs w:val="24"/>
        </w:rPr>
        <w:t>Case Reports in Endocrinology, 2019</w:t>
      </w:r>
      <w:r w:rsidRPr="000229B8">
        <w:rPr>
          <w:rFonts w:cs="Times New Roman"/>
          <w:szCs w:val="24"/>
        </w:rPr>
        <w:t xml:space="preserve">, 1-6. </w:t>
      </w:r>
      <w:hyperlink r:id="rId20" w:history="1">
        <w:r w:rsidRPr="000229B8">
          <w:rPr>
            <w:rStyle w:val="Hyperlink"/>
            <w:rFonts w:cs="Times New Roman"/>
            <w:szCs w:val="24"/>
          </w:rPr>
          <w:t>https://doi.org/10.1155/2019/5986014</w:t>
        </w:r>
      </w:hyperlink>
    </w:p>
    <w:p w14:paraId="34AD15A6" w14:textId="77777777" w:rsidR="00FD53DE" w:rsidRPr="00755C63" w:rsidRDefault="00FD53DE" w:rsidP="00FD53DE">
      <w:pPr>
        <w:spacing w:after="0" w:line="480" w:lineRule="auto"/>
        <w:ind w:left="720" w:hanging="720"/>
        <w:rPr>
          <w:rFonts w:cs="Times New Roman"/>
          <w:szCs w:val="24"/>
          <w:lang w:val="en-US"/>
        </w:rPr>
      </w:pPr>
      <w:r w:rsidRPr="00755C63">
        <w:rPr>
          <w:rFonts w:cs="Times New Roman"/>
          <w:szCs w:val="24"/>
          <w:lang w:val="en-US"/>
        </w:rPr>
        <w:t xml:space="preserve">National Institute of Diabetes and Digestive and Kidney Diseases (NIDDK) (2021). </w:t>
      </w:r>
      <w:r w:rsidRPr="00755C63">
        <w:rPr>
          <w:rFonts w:cs="Times New Roman"/>
          <w:i/>
          <w:iCs/>
          <w:szCs w:val="24"/>
          <w:lang w:val="en-US"/>
        </w:rPr>
        <w:t>Hypothyroidism (underactive thyroid)</w:t>
      </w:r>
      <w:r w:rsidRPr="00755C63">
        <w:rPr>
          <w:rFonts w:cs="Times New Roman"/>
          <w:szCs w:val="24"/>
          <w:lang w:val="en-US"/>
        </w:rPr>
        <w:t xml:space="preserve">. </w:t>
      </w:r>
      <w:hyperlink r:id="rId21" w:history="1">
        <w:r w:rsidRPr="00755C63">
          <w:rPr>
            <w:rStyle w:val="Hyperlink"/>
            <w:rFonts w:cs="Times New Roman"/>
            <w:szCs w:val="24"/>
            <w:lang w:val="en-US"/>
          </w:rPr>
          <w:t>https://www.niddk.nih.gov/health-information/endocrine-diseases/hypothyroidism</w:t>
        </w:r>
      </w:hyperlink>
    </w:p>
    <w:p w14:paraId="6F245CF0" w14:textId="77777777" w:rsidR="00FD53DE" w:rsidRDefault="00FD53DE" w:rsidP="00FD53DE">
      <w:pPr>
        <w:spacing w:after="0" w:line="480" w:lineRule="auto"/>
        <w:ind w:left="720" w:hanging="720"/>
        <w:rPr>
          <w:rStyle w:val="Hyperlink"/>
          <w:rFonts w:cs="Times New Roman"/>
          <w:szCs w:val="24"/>
          <w:shd w:val="clear" w:color="auto" w:fill="FFFFFF"/>
        </w:rPr>
      </w:pPr>
      <w:r w:rsidRPr="00755C63">
        <w:rPr>
          <w:rFonts w:cs="Times New Roman"/>
          <w:color w:val="222222"/>
          <w:szCs w:val="24"/>
          <w:shd w:val="clear" w:color="auto" w:fill="FFFFFF"/>
        </w:rPr>
        <w:lastRenderedPageBreak/>
        <w:t>Patrick, H., &amp; Williams, G. C. (2012). Self-determination theory: its application to health behavior and complementarity with motivational interviewing. </w:t>
      </w:r>
      <w:r w:rsidRPr="00755C63">
        <w:rPr>
          <w:rFonts w:cs="Times New Roman"/>
          <w:i/>
          <w:iCs/>
          <w:color w:val="222222"/>
          <w:szCs w:val="24"/>
          <w:shd w:val="clear" w:color="auto" w:fill="FFFFFF"/>
        </w:rPr>
        <w:t>International Journal of Behavioral Nutrition and Physical Activity</w:t>
      </w:r>
      <w:r w:rsidRPr="00755C63">
        <w:rPr>
          <w:rFonts w:cs="Times New Roman"/>
          <w:color w:val="222222"/>
          <w:szCs w:val="24"/>
          <w:shd w:val="clear" w:color="auto" w:fill="FFFFFF"/>
        </w:rPr>
        <w:t>, </w:t>
      </w:r>
      <w:r w:rsidRPr="00755C63">
        <w:rPr>
          <w:rFonts w:cs="Times New Roman"/>
          <w:i/>
          <w:iCs/>
          <w:color w:val="222222"/>
          <w:szCs w:val="24"/>
          <w:shd w:val="clear" w:color="auto" w:fill="FFFFFF"/>
        </w:rPr>
        <w:t>9</w:t>
      </w:r>
      <w:r w:rsidRPr="00755C63">
        <w:rPr>
          <w:rFonts w:cs="Times New Roman"/>
          <w:color w:val="222222"/>
          <w:szCs w:val="24"/>
          <w:shd w:val="clear" w:color="auto" w:fill="FFFFFF"/>
        </w:rPr>
        <w:t xml:space="preserve">(1), 1-12. </w:t>
      </w:r>
      <w:hyperlink r:id="rId22" w:history="1">
        <w:r w:rsidRPr="00755C63">
          <w:rPr>
            <w:rStyle w:val="Hyperlink"/>
            <w:rFonts w:cs="Times New Roman"/>
            <w:szCs w:val="24"/>
            <w:shd w:val="clear" w:color="auto" w:fill="FFFFFF"/>
          </w:rPr>
          <w:t>http://www.ijbnpa.org/content/9/1/18</w:t>
        </w:r>
      </w:hyperlink>
    </w:p>
    <w:p w14:paraId="610E6902" w14:textId="77777777" w:rsidR="00FD53DE" w:rsidRPr="00B66636" w:rsidRDefault="00FD53DE" w:rsidP="00FD53DE">
      <w:pPr>
        <w:spacing w:after="0" w:line="480" w:lineRule="auto"/>
        <w:ind w:left="720" w:hanging="720"/>
        <w:rPr>
          <w:rFonts w:cs="Times New Roman"/>
          <w:szCs w:val="24"/>
        </w:rPr>
      </w:pPr>
      <w:r w:rsidRPr="009247C9">
        <w:rPr>
          <w:rFonts w:cs="Times New Roman"/>
          <w:szCs w:val="24"/>
        </w:rPr>
        <w:t xml:space="preserve">Ray, R., &amp; Gibbons, A. (2021). </w:t>
      </w:r>
      <w:r w:rsidRPr="009247C9">
        <w:rPr>
          <w:rFonts w:cs="Times New Roman"/>
          <w:i/>
          <w:iCs/>
          <w:szCs w:val="24"/>
        </w:rPr>
        <w:t>Why are states banning critical race theory</w:t>
      </w:r>
      <w:r w:rsidRPr="009247C9">
        <w:rPr>
          <w:rFonts w:cs="Times New Roman"/>
          <w:szCs w:val="24"/>
        </w:rPr>
        <w:t xml:space="preserve">? </w:t>
      </w:r>
      <w:hyperlink r:id="rId23" w:history="1">
        <w:r w:rsidRPr="009247C9">
          <w:rPr>
            <w:rStyle w:val="Hyperlink"/>
            <w:rFonts w:cs="Times New Roman"/>
            <w:szCs w:val="24"/>
          </w:rPr>
          <w:t>https://www.brookings.edu/blog/fixgov/2021/07/02/why-are-states-banning-critical-race-theory/</w:t>
        </w:r>
      </w:hyperlink>
    </w:p>
    <w:p w14:paraId="00DF5B74" w14:textId="77777777" w:rsidR="00FD53DE" w:rsidRDefault="00FD53DE" w:rsidP="00FD53DE">
      <w:pPr>
        <w:spacing w:after="0" w:line="480" w:lineRule="auto"/>
        <w:ind w:left="720" w:hanging="720"/>
        <w:rPr>
          <w:rStyle w:val="Hyperlink"/>
          <w:rFonts w:cs="Times New Roman"/>
          <w:szCs w:val="24"/>
        </w:rPr>
      </w:pPr>
      <w:r w:rsidRPr="00755C63">
        <w:rPr>
          <w:rFonts w:cs="Times New Roman"/>
          <w:szCs w:val="24"/>
        </w:rPr>
        <w:t xml:space="preserve">Rogers B.G., Lee J.S., Safren S.A. (2016) Behavioral interventions for adherence. In: Hope T., Richman D., Stevenson M. (eds) </w:t>
      </w:r>
      <w:r w:rsidRPr="00755C63">
        <w:rPr>
          <w:rFonts w:cs="Times New Roman"/>
          <w:i/>
          <w:iCs/>
          <w:szCs w:val="24"/>
        </w:rPr>
        <w:t>Encyclopedia of AIDS</w:t>
      </w:r>
      <w:r w:rsidRPr="00755C63">
        <w:rPr>
          <w:rFonts w:cs="Times New Roman"/>
          <w:szCs w:val="24"/>
        </w:rPr>
        <w:t xml:space="preserve">. Springer, New York, NY. </w:t>
      </w:r>
      <w:hyperlink r:id="rId24" w:history="1">
        <w:r w:rsidRPr="00755C63">
          <w:rPr>
            <w:rStyle w:val="Hyperlink"/>
            <w:rFonts w:cs="Times New Roman"/>
            <w:szCs w:val="24"/>
          </w:rPr>
          <w:t>https://doi.org/10.1007/978-1-4614-9610-6_457-1</w:t>
        </w:r>
      </w:hyperlink>
    </w:p>
    <w:p w14:paraId="13C42FEF" w14:textId="77777777" w:rsidR="00FD53DE" w:rsidRPr="000229B8" w:rsidRDefault="00FD53DE" w:rsidP="00FD53DE">
      <w:pPr>
        <w:spacing w:after="0" w:line="480" w:lineRule="auto"/>
        <w:ind w:left="720" w:hanging="720"/>
        <w:rPr>
          <w:rFonts w:cs="Times New Roman"/>
          <w:szCs w:val="24"/>
        </w:rPr>
      </w:pPr>
      <w:r w:rsidRPr="000229B8">
        <w:rPr>
          <w:rFonts w:cs="Times New Roman"/>
          <w:szCs w:val="24"/>
        </w:rPr>
        <w:t>Scavone, C., Sportiello, L., Cimmaruta, D., Sullo, M. G., Vitelli, B., Rafaniello, C., Fossati, T., &amp; Rossi, F. (2016). Medication adherence and the use of new pharmaceutical formulations: The case of levothyroxine. </w:t>
      </w:r>
      <w:r w:rsidRPr="000229B8">
        <w:rPr>
          <w:rFonts w:cs="Times New Roman"/>
          <w:i/>
          <w:iCs/>
          <w:szCs w:val="24"/>
        </w:rPr>
        <w:t>Minerva Endocrinologica</w:t>
      </w:r>
      <w:r w:rsidRPr="000229B8">
        <w:rPr>
          <w:rFonts w:cs="Times New Roman"/>
          <w:szCs w:val="24"/>
        </w:rPr>
        <w:t>, </w:t>
      </w:r>
      <w:r w:rsidRPr="000229B8">
        <w:rPr>
          <w:rFonts w:cs="Times New Roman"/>
          <w:i/>
          <w:iCs/>
          <w:szCs w:val="24"/>
        </w:rPr>
        <w:t>41</w:t>
      </w:r>
      <w:r w:rsidRPr="000229B8">
        <w:rPr>
          <w:rFonts w:cs="Times New Roman"/>
          <w:szCs w:val="24"/>
        </w:rPr>
        <w:t>(2), 279–289.</w:t>
      </w:r>
    </w:p>
    <w:p w14:paraId="686F9F8B" w14:textId="77777777" w:rsidR="00FD53DE" w:rsidRDefault="00FD53DE" w:rsidP="00FD53DE">
      <w:pPr>
        <w:spacing w:after="0" w:line="480" w:lineRule="auto"/>
        <w:ind w:left="720" w:hanging="720"/>
        <w:rPr>
          <w:rFonts w:cs="Times New Roman"/>
          <w:szCs w:val="24"/>
        </w:rPr>
      </w:pPr>
      <w:r w:rsidRPr="0062493C">
        <w:rPr>
          <w:rFonts w:cs="Times New Roman"/>
          <w:szCs w:val="24"/>
        </w:rPr>
        <w:t>Tariq, R. A., Vashisht, R., Sinha, A., &amp; Scherbak, Y. (2020). Medication dispensing errors and prevention. </w:t>
      </w:r>
      <w:r w:rsidRPr="0062493C">
        <w:rPr>
          <w:rFonts w:cs="Times New Roman"/>
          <w:i/>
          <w:iCs/>
          <w:szCs w:val="24"/>
        </w:rPr>
        <w:t>StatPearls: Treasure Island, FL, USA</w:t>
      </w:r>
      <w:r w:rsidRPr="0062493C">
        <w:rPr>
          <w:rFonts w:cs="Times New Roman"/>
          <w:szCs w:val="24"/>
        </w:rPr>
        <w:t>.</w:t>
      </w:r>
    </w:p>
    <w:p w14:paraId="1D4873EC" w14:textId="77777777" w:rsidR="00FD53DE" w:rsidRDefault="00FD53DE" w:rsidP="00FD53DE">
      <w:pPr>
        <w:spacing w:after="0" w:line="480" w:lineRule="auto"/>
        <w:rPr>
          <w:rFonts w:cs="Times New Roman"/>
          <w:i/>
          <w:iCs/>
          <w:szCs w:val="24"/>
        </w:rPr>
      </w:pPr>
      <w:r w:rsidRPr="0062493C">
        <w:rPr>
          <w:rFonts w:cs="Times New Roman"/>
          <w:szCs w:val="24"/>
        </w:rPr>
        <w:t xml:space="preserve">U.S. Food &amp; Drug Administration (FDA) (2016). </w:t>
      </w:r>
      <w:r w:rsidRPr="0062493C">
        <w:rPr>
          <w:rFonts w:cs="Times New Roman"/>
          <w:i/>
          <w:iCs/>
          <w:szCs w:val="24"/>
        </w:rPr>
        <w:t xml:space="preserve">Why you need to take your medications as </w:t>
      </w:r>
      <w:r>
        <w:rPr>
          <w:rFonts w:cs="Times New Roman"/>
          <w:i/>
          <w:iCs/>
          <w:szCs w:val="24"/>
        </w:rPr>
        <w:t xml:space="preserve"> </w:t>
      </w:r>
    </w:p>
    <w:p w14:paraId="7F93ED69" w14:textId="77777777" w:rsidR="00FD53DE" w:rsidRDefault="00FD53DE" w:rsidP="00FD53DE">
      <w:pPr>
        <w:spacing w:after="0" w:line="480" w:lineRule="auto"/>
        <w:ind w:firstLine="720"/>
        <w:rPr>
          <w:rStyle w:val="Hyperlink"/>
          <w:rFonts w:cs="Times New Roman"/>
          <w:szCs w:val="24"/>
        </w:rPr>
      </w:pPr>
      <w:r w:rsidRPr="0062493C">
        <w:rPr>
          <w:rFonts w:cs="Times New Roman"/>
          <w:i/>
          <w:iCs/>
          <w:szCs w:val="24"/>
        </w:rPr>
        <w:t>prescribed or instructed</w:t>
      </w:r>
      <w:r w:rsidRPr="0062493C">
        <w:rPr>
          <w:rFonts w:cs="Times New Roman"/>
          <w:szCs w:val="24"/>
        </w:rPr>
        <w:t xml:space="preserve">. </w:t>
      </w:r>
      <w:hyperlink r:id="rId25" w:history="1">
        <w:r w:rsidRPr="0062493C">
          <w:rPr>
            <w:rStyle w:val="Hyperlink"/>
            <w:rFonts w:cs="Times New Roman"/>
            <w:szCs w:val="24"/>
          </w:rPr>
          <w:t>https://www.fda.gov/drugs/special-features/why-you-need-take-your-medications-prescribed-or-instructed</w:t>
        </w:r>
      </w:hyperlink>
    </w:p>
    <w:p w14:paraId="6907DCB0" w14:textId="77777777" w:rsidR="00FD53DE" w:rsidRPr="009247C9" w:rsidRDefault="00FD53DE" w:rsidP="00FD53DE">
      <w:pPr>
        <w:spacing w:after="0" w:line="480" w:lineRule="auto"/>
        <w:ind w:left="720" w:hanging="720"/>
        <w:rPr>
          <w:rFonts w:cs="Times New Roman"/>
          <w:szCs w:val="24"/>
        </w:rPr>
      </w:pPr>
      <w:r w:rsidRPr="009247C9">
        <w:rPr>
          <w:rFonts w:cs="Times New Roman"/>
          <w:szCs w:val="24"/>
        </w:rPr>
        <w:t xml:space="preserve">Vaidya, B., &amp; Pearce, S. H. S. (2008). Management of hypothyroidism in adults. </w:t>
      </w:r>
      <w:r w:rsidRPr="009247C9">
        <w:rPr>
          <w:rFonts w:cs="Times New Roman"/>
          <w:i/>
          <w:iCs/>
          <w:szCs w:val="24"/>
        </w:rPr>
        <w:t>BMJ, 337</w:t>
      </w:r>
      <w:r w:rsidRPr="009247C9">
        <w:rPr>
          <w:rFonts w:cs="Times New Roman"/>
          <w:szCs w:val="24"/>
        </w:rPr>
        <w:t xml:space="preserve">(801), 284-289. </w:t>
      </w:r>
      <w:hyperlink r:id="rId26" w:history="1">
        <w:r w:rsidRPr="009247C9">
          <w:rPr>
            <w:rStyle w:val="Hyperlink"/>
            <w:rFonts w:cs="Times New Roman"/>
            <w:szCs w:val="24"/>
          </w:rPr>
          <w:t>https://doi.org/10.1136/bmj.a801</w:t>
        </w:r>
      </w:hyperlink>
    </w:p>
    <w:p w14:paraId="6DAA3C67" w14:textId="77777777" w:rsidR="00FD53DE" w:rsidRPr="00755C63" w:rsidRDefault="00FD53DE" w:rsidP="00FD53DE">
      <w:pPr>
        <w:spacing w:after="0" w:line="480" w:lineRule="auto"/>
        <w:ind w:left="720" w:hanging="720"/>
        <w:rPr>
          <w:rFonts w:cs="Times New Roman"/>
          <w:szCs w:val="24"/>
        </w:rPr>
      </w:pPr>
      <w:r w:rsidRPr="00093A3D">
        <w:rPr>
          <w:rFonts w:cs="Times New Roman"/>
          <w:szCs w:val="24"/>
        </w:rPr>
        <w:t xml:space="preserve">Weinstein, N. D., Sandman, P. M., &amp; Blalock, S. J. (2008). The precaution adoption process model. In K. Glanz, B. K. Rimer, &amp; K. Viswanath (eds.). </w:t>
      </w:r>
      <w:r w:rsidRPr="00093A3D">
        <w:rPr>
          <w:rFonts w:cs="Times New Roman"/>
          <w:i/>
          <w:iCs/>
          <w:szCs w:val="24"/>
        </w:rPr>
        <w:t xml:space="preserve">Health behavior and health education, </w:t>
      </w:r>
      <w:r w:rsidRPr="00093A3D">
        <w:rPr>
          <w:rFonts w:cs="Times New Roman"/>
          <w:szCs w:val="24"/>
        </w:rPr>
        <w:t>4th edition. Jossey-Bass (pp. 123-147).</w:t>
      </w:r>
    </w:p>
    <w:p w14:paraId="36DC2DE9" w14:textId="77777777" w:rsidR="00FD53DE" w:rsidRPr="00755C63" w:rsidRDefault="00FD53DE" w:rsidP="00FD53DE">
      <w:pPr>
        <w:spacing w:after="0" w:line="480" w:lineRule="auto"/>
        <w:ind w:left="720" w:hanging="720"/>
        <w:rPr>
          <w:rFonts w:cs="Times New Roman"/>
          <w:color w:val="222222"/>
          <w:szCs w:val="24"/>
          <w:shd w:val="clear" w:color="auto" w:fill="FFFFFF"/>
        </w:rPr>
      </w:pPr>
      <w:r w:rsidRPr="00755C63">
        <w:rPr>
          <w:rFonts w:cs="Times New Roman"/>
          <w:color w:val="222222"/>
          <w:szCs w:val="24"/>
          <w:shd w:val="clear" w:color="auto" w:fill="FFFFFF"/>
        </w:rPr>
        <w:lastRenderedPageBreak/>
        <w:t xml:space="preserve">WHO. (2003). </w:t>
      </w:r>
      <w:r w:rsidRPr="00755C63">
        <w:rPr>
          <w:rFonts w:cs="Times New Roman"/>
          <w:i/>
          <w:iCs/>
          <w:color w:val="222222"/>
          <w:szCs w:val="24"/>
          <w:shd w:val="clear" w:color="auto" w:fill="FFFFFF"/>
        </w:rPr>
        <w:t>Adherence to long-term therapies: Evidence for action</w:t>
      </w:r>
      <w:r w:rsidRPr="00755C63">
        <w:rPr>
          <w:rFonts w:cs="Times New Roman"/>
          <w:color w:val="222222"/>
          <w:szCs w:val="24"/>
          <w:shd w:val="clear" w:color="auto" w:fill="FFFFFF"/>
        </w:rPr>
        <w:t>. World Health Organization.</w:t>
      </w:r>
    </w:p>
    <w:p w14:paraId="37DA0C1A" w14:textId="77777777" w:rsidR="00FD53DE" w:rsidRPr="00755C63" w:rsidRDefault="00FD53DE" w:rsidP="00FD53DE">
      <w:pPr>
        <w:spacing w:after="0" w:line="480" w:lineRule="auto"/>
        <w:rPr>
          <w:rFonts w:cs="Times New Roman"/>
          <w:szCs w:val="24"/>
          <w:lang w:val="en-US"/>
        </w:rPr>
      </w:pPr>
    </w:p>
    <w:p w14:paraId="430F0DB9" w14:textId="77777777" w:rsidR="00FD53DE" w:rsidRPr="00755C63" w:rsidRDefault="00FD53DE" w:rsidP="00FD53DE">
      <w:pPr>
        <w:spacing w:after="0"/>
        <w:rPr>
          <w:rFonts w:cs="Times New Roman"/>
          <w:szCs w:val="24"/>
        </w:rPr>
      </w:pPr>
    </w:p>
    <w:p w14:paraId="338E489A" w14:textId="77777777" w:rsidR="00FD53DE" w:rsidRPr="000229B8" w:rsidRDefault="00FD53DE" w:rsidP="00FD53DE">
      <w:pPr>
        <w:spacing w:after="0" w:line="480" w:lineRule="auto"/>
        <w:ind w:firstLine="720"/>
        <w:rPr>
          <w:rFonts w:cs="Times New Roman"/>
          <w:szCs w:val="24"/>
        </w:rPr>
      </w:pPr>
    </w:p>
    <w:p w14:paraId="7483FFFA" w14:textId="77777777" w:rsidR="00FD53DE" w:rsidRDefault="00FD53DE" w:rsidP="00FD53DE">
      <w:pPr>
        <w:spacing w:after="0" w:line="480" w:lineRule="auto"/>
        <w:jc w:val="center"/>
        <w:rPr>
          <w:rFonts w:cs="Times New Roman"/>
          <w:b/>
          <w:bCs/>
          <w:szCs w:val="24"/>
        </w:rPr>
      </w:pPr>
    </w:p>
    <w:p w14:paraId="21A1ADBF" w14:textId="77777777" w:rsidR="00C56054" w:rsidRDefault="00C56054"/>
    <w:sectPr w:rsidR="00C56054" w:rsidSect="00567274">
      <w:headerReference w:type="default" r:id="rId27"/>
      <w:headerReference w:type="first" r:id="rId2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0670"/>
      <w:docPartObj>
        <w:docPartGallery w:val="Page Numbers (Top of Page)"/>
        <w:docPartUnique/>
      </w:docPartObj>
    </w:sdtPr>
    <w:sdtEndPr>
      <w:rPr>
        <w:noProof/>
      </w:rPr>
    </w:sdtEndPr>
    <w:sdtContent>
      <w:p w14:paraId="4A4FFE97" w14:textId="77777777" w:rsidR="00567274" w:rsidRDefault="00FD53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E6C32A" w14:textId="77777777" w:rsidR="00567274" w:rsidRDefault="00FD5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7902"/>
      <w:docPartObj>
        <w:docPartGallery w:val="Page Numbers (Top of Page)"/>
        <w:docPartUnique/>
      </w:docPartObj>
    </w:sdtPr>
    <w:sdtEndPr>
      <w:rPr>
        <w:noProof/>
      </w:rPr>
    </w:sdtEndPr>
    <w:sdtContent>
      <w:p w14:paraId="5E26E919" w14:textId="77777777" w:rsidR="00567274" w:rsidRDefault="00FD53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C945A4" w14:textId="77777777" w:rsidR="00567274" w:rsidRDefault="00FD5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4D25"/>
    <w:multiLevelType w:val="hybridMultilevel"/>
    <w:tmpl w:val="CC7E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81035"/>
    <w:multiLevelType w:val="hybridMultilevel"/>
    <w:tmpl w:val="5D2E12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F40C94"/>
    <w:multiLevelType w:val="hybridMultilevel"/>
    <w:tmpl w:val="F68E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F9"/>
    <w:rsid w:val="009275F9"/>
    <w:rsid w:val="00C56054"/>
    <w:rsid w:val="00FD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40AC"/>
  <w15:chartTrackingRefBased/>
  <w15:docId w15:val="{0D37F5A2-E4DA-40E9-908F-08756903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DE"/>
    <w:pPr>
      <w:spacing w:line="256"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3DE"/>
    <w:rPr>
      <w:color w:val="0563C1" w:themeColor="hyperlink"/>
      <w:u w:val="single"/>
    </w:rPr>
  </w:style>
  <w:style w:type="paragraph" w:styleId="ListParagraph">
    <w:name w:val="List Paragraph"/>
    <w:basedOn w:val="Normal"/>
    <w:uiPriority w:val="34"/>
    <w:qFormat/>
    <w:rsid w:val="00FD53DE"/>
    <w:pPr>
      <w:spacing w:line="259" w:lineRule="auto"/>
      <w:ind w:left="720"/>
      <w:contextualSpacing/>
    </w:pPr>
    <w:rPr>
      <w:lang w:val="en-US"/>
    </w:rPr>
  </w:style>
  <w:style w:type="paragraph" w:styleId="Caption">
    <w:name w:val="caption"/>
    <w:basedOn w:val="Normal"/>
    <w:next w:val="Normal"/>
    <w:uiPriority w:val="35"/>
    <w:unhideWhenUsed/>
    <w:qFormat/>
    <w:rsid w:val="00FD53DE"/>
    <w:pPr>
      <w:spacing w:after="200" w:line="240" w:lineRule="auto"/>
    </w:pPr>
    <w:rPr>
      <w:i/>
      <w:iCs/>
      <w:color w:val="44546A" w:themeColor="text2"/>
      <w:sz w:val="18"/>
      <w:szCs w:val="18"/>
      <w:lang w:val="en-US"/>
    </w:rPr>
  </w:style>
  <w:style w:type="paragraph" w:styleId="Header">
    <w:name w:val="header"/>
    <w:basedOn w:val="Normal"/>
    <w:link w:val="HeaderChar"/>
    <w:uiPriority w:val="99"/>
    <w:unhideWhenUsed/>
    <w:rsid w:val="00FD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DE"/>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34297" TargetMode="External"/><Relationship Id="rId13" Type="http://schemas.openxmlformats.org/officeDocument/2006/relationships/hyperlink" Target="https://doi.org/10.1080/03007995.2018.1486293" TargetMode="External"/><Relationship Id="rId18" Type="http://schemas.openxmlformats.org/officeDocument/2006/relationships/hyperlink" Target="https://doi.org/10.3389/fpsyg.2018.01157" TargetMode="External"/><Relationship Id="rId26" Type="http://schemas.openxmlformats.org/officeDocument/2006/relationships/hyperlink" Target="https://doi.org/10.1136/bmj.a801" TargetMode="External"/><Relationship Id="rId3" Type="http://schemas.openxmlformats.org/officeDocument/2006/relationships/settings" Target="settings.xml"/><Relationship Id="rId21" Type="http://schemas.openxmlformats.org/officeDocument/2006/relationships/hyperlink" Target="https://www.niddk.nih.gov/health-information/endocrine-diseases/hypothyroidism" TargetMode="External"/><Relationship Id="rId7" Type="http://schemas.openxmlformats.org/officeDocument/2006/relationships/hyperlink" Target="https://dx.doi.org/10.1590%2F1518-8345.1677.2826" TargetMode="External"/><Relationship Id="rId12" Type="http://schemas.openxmlformats.org/officeDocument/2006/relationships/hyperlink" Target="https://www.ncbi.nlm.nih.gov/books/NBK560658/" TargetMode="External"/><Relationship Id="rId17" Type="http://schemas.openxmlformats.org/officeDocument/2006/relationships/hyperlink" Target="https://dx.doi.org/10.1136/bmjopen-2020-047041" TargetMode="External"/><Relationship Id="rId25" Type="http://schemas.openxmlformats.org/officeDocument/2006/relationships/hyperlink" Target="https://www.fda.gov/drugs/special-features/why-you-need-take-your-medications-prescribed-or-instructed" TargetMode="External"/><Relationship Id="rId2" Type="http://schemas.openxmlformats.org/officeDocument/2006/relationships/styles" Target="styles.xml"/><Relationship Id="rId16" Type="http://schemas.openxmlformats.org/officeDocument/2006/relationships/hyperlink" Target="https://sphweb.bumc.bu.edu/otlt/mph-modules/sb/behavioralchangetheories/BehavioralChangeTheories3.html" TargetMode="External"/><Relationship Id="rId20" Type="http://schemas.openxmlformats.org/officeDocument/2006/relationships/hyperlink" Target="https://doi.org/10.1155/2019/59860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B978-0-12-811228-1.00004-2" TargetMode="External"/><Relationship Id="rId11" Type="http://schemas.openxmlformats.org/officeDocument/2006/relationships/hyperlink" Target="https://doi.org/10.1186/s13643-019-1014-8" TargetMode="External"/><Relationship Id="rId24" Type="http://schemas.openxmlformats.org/officeDocument/2006/relationships/hyperlink" Target="https://doi.org/10.1007/978-1-4614-9610-6_457-1" TargetMode="External"/><Relationship Id="rId5" Type="http://schemas.openxmlformats.org/officeDocument/2006/relationships/hyperlink" Target="http://dx.doi.org/10.1155/2014/479596" TargetMode="External"/><Relationship Id="rId15" Type="http://schemas.openxmlformats.org/officeDocument/2006/relationships/hyperlink" Target="https://doi.org/10.7759/cureus.4624" TargetMode="External"/><Relationship Id="rId23" Type="http://schemas.openxmlformats.org/officeDocument/2006/relationships/hyperlink" Target="https://www.brookings.edu/blog/fixgov/2021/07/02/why-are-states-banning-critical-race-theory/" TargetMode="External"/><Relationship Id="rId28" Type="http://schemas.openxmlformats.org/officeDocument/2006/relationships/header" Target="header2.xml"/><Relationship Id="rId10" Type="http://schemas.openxmlformats.org/officeDocument/2006/relationships/hyperlink" Target="https://doi.org/10.2147/PPA.S87551" TargetMode="External"/><Relationship Id="rId19" Type="http://schemas.openxmlformats.org/officeDocument/2006/relationships/hyperlink" Target="https://doi.org/10.1080/00140139.2017.1301574" TargetMode="External"/><Relationship Id="rId4" Type="http://schemas.openxmlformats.org/officeDocument/2006/relationships/webSettings" Target="webSettings.xml"/><Relationship Id="rId9" Type="http://schemas.openxmlformats.org/officeDocument/2006/relationships/hyperlink" Target="https://doi.org/10.1111/jan.12361" TargetMode="External"/><Relationship Id="rId14" Type="http://schemas.openxmlformats.org/officeDocument/2006/relationships/hyperlink" Target="https://www.pharmacytimes.com/view/medication-adherence-programs-strategies-for-creating-more-loyal-patients" TargetMode="External"/><Relationship Id="rId22" Type="http://schemas.openxmlformats.org/officeDocument/2006/relationships/hyperlink" Target="http://www.ijbnpa.org/content/9/1/1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8960</Words>
  <Characters>51075</Characters>
  <Application>Microsoft Office Word</Application>
  <DocSecurity>0</DocSecurity>
  <Lines>425</Lines>
  <Paragraphs>119</Paragraphs>
  <ScaleCrop>false</ScaleCrop>
  <Company/>
  <LinksUpToDate>false</LinksUpToDate>
  <CharactersWithSpaces>59916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anna.aghabekyan@gmail.com</dc:creator>
  <cp:keywords/>
  <dc:description/>
  <cp:lastModifiedBy>anna.aghabekyan@gmail.com</cp:lastModifiedBy>
  <cp:revision>2</cp:revision>
  <dcterms:created xsi:type="dcterms:W3CDTF">2021-12-04T04:08:00Z</dcterms:created>
  <dcterms:modified xsi:type="dcterms:W3CDTF">2021-12-04T04:09:00Z</dcterms:modified>
</cp:coreProperties>
</file>