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D06" w:rsidRDefault="00782D06" w:rsidP="00782D06">
      <w:pPr>
        <w:spacing w:line="480" w:lineRule="auto"/>
        <w:jc w:val="center"/>
        <w:rPr>
          <w:rFonts w:ascii="Times New Roman" w:hAnsi="Times New Roman" w:cs="Times New Roman"/>
          <w:sz w:val="24"/>
          <w:szCs w:val="24"/>
          <w:shd w:val="clear" w:color="auto" w:fill="FFFFFF"/>
        </w:rPr>
      </w:pPr>
    </w:p>
    <w:p w:rsidR="00782D06" w:rsidRDefault="00782D06" w:rsidP="00782D06">
      <w:pPr>
        <w:spacing w:line="480" w:lineRule="auto"/>
        <w:jc w:val="center"/>
        <w:rPr>
          <w:rFonts w:ascii="Times New Roman" w:hAnsi="Times New Roman" w:cs="Times New Roman"/>
          <w:sz w:val="24"/>
          <w:szCs w:val="24"/>
          <w:shd w:val="clear" w:color="auto" w:fill="FFFFFF"/>
        </w:rPr>
      </w:pPr>
    </w:p>
    <w:p w:rsidR="00782D06" w:rsidRDefault="00782D06" w:rsidP="00782D06">
      <w:pPr>
        <w:spacing w:line="480" w:lineRule="auto"/>
        <w:jc w:val="center"/>
        <w:rPr>
          <w:rFonts w:ascii="Times New Roman" w:hAnsi="Times New Roman" w:cs="Times New Roman"/>
          <w:sz w:val="24"/>
          <w:szCs w:val="24"/>
          <w:shd w:val="clear" w:color="auto" w:fill="FFFFFF"/>
        </w:rPr>
      </w:pPr>
    </w:p>
    <w:p w:rsidR="00782D06" w:rsidRDefault="00782D06" w:rsidP="00782D06">
      <w:pPr>
        <w:spacing w:line="480" w:lineRule="auto"/>
        <w:jc w:val="center"/>
        <w:rPr>
          <w:rFonts w:ascii="Times New Roman" w:hAnsi="Times New Roman" w:cs="Times New Roman"/>
          <w:sz w:val="24"/>
          <w:szCs w:val="24"/>
          <w:shd w:val="clear" w:color="auto" w:fill="FFFFFF"/>
        </w:rPr>
      </w:pPr>
    </w:p>
    <w:p w:rsidR="00782D06" w:rsidRDefault="00782D06" w:rsidP="00782D06">
      <w:pPr>
        <w:spacing w:line="480" w:lineRule="auto"/>
        <w:jc w:val="center"/>
        <w:rPr>
          <w:rFonts w:ascii="Times New Roman" w:hAnsi="Times New Roman" w:cs="Times New Roman"/>
          <w:sz w:val="24"/>
          <w:szCs w:val="24"/>
          <w:shd w:val="clear" w:color="auto" w:fill="FFFFFF"/>
        </w:rPr>
      </w:pPr>
    </w:p>
    <w:p w:rsidR="00782D06" w:rsidRDefault="00782D06" w:rsidP="00782D06">
      <w:pPr>
        <w:spacing w:line="480" w:lineRule="auto"/>
        <w:rPr>
          <w:rFonts w:ascii="Times New Roman" w:hAnsi="Times New Roman" w:cs="Times New Roman"/>
          <w:sz w:val="24"/>
          <w:szCs w:val="24"/>
          <w:shd w:val="clear" w:color="auto" w:fill="FFFFFF"/>
        </w:rPr>
      </w:pPr>
    </w:p>
    <w:p w:rsidR="003E5144" w:rsidRPr="00782D06" w:rsidRDefault="00782D06" w:rsidP="00782D06">
      <w:pPr>
        <w:spacing w:line="480" w:lineRule="auto"/>
        <w:jc w:val="center"/>
        <w:rPr>
          <w:rFonts w:ascii="Times New Roman" w:hAnsi="Times New Roman" w:cs="Times New Roman"/>
          <w:sz w:val="24"/>
          <w:szCs w:val="24"/>
          <w:shd w:val="clear" w:color="auto" w:fill="FFFFFF"/>
        </w:rPr>
      </w:pPr>
      <w:r w:rsidRPr="00782D06">
        <w:rPr>
          <w:rFonts w:ascii="Times New Roman" w:hAnsi="Times New Roman" w:cs="Times New Roman"/>
          <w:sz w:val="24"/>
          <w:szCs w:val="24"/>
          <w:shd w:val="clear" w:color="auto" w:fill="FFFFFF"/>
        </w:rPr>
        <w:t>W1 Assignment 1: Passive Misconduct</w:t>
      </w:r>
    </w:p>
    <w:p w:rsidR="00782D06" w:rsidRPr="00782D06" w:rsidRDefault="00782D06" w:rsidP="00782D06">
      <w:pPr>
        <w:spacing w:line="480" w:lineRule="auto"/>
        <w:jc w:val="center"/>
        <w:rPr>
          <w:rFonts w:ascii="Times New Roman" w:hAnsi="Times New Roman" w:cs="Times New Roman"/>
          <w:sz w:val="24"/>
          <w:szCs w:val="24"/>
          <w:shd w:val="clear" w:color="auto" w:fill="FFFFFF"/>
        </w:rPr>
      </w:pPr>
      <w:r w:rsidRPr="00782D06">
        <w:rPr>
          <w:rFonts w:ascii="Times New Roman" w:hAnsi="Times New Roman" w:cs="Times New Roman"/>
          <w:sz w:val="24"/>
          <w:szCs w:val="24"/>
          <w:shd w:val="clear" w:color="auto" w:fill="FFFFFF"/>
        </w:rPr>
        <w:t>Name</w:t>
      </w:r>
    </w:p>
    <w:p w:rsidR="00782D06" w:rsidRPr="00782D06" w:rsidRDefault="00782D06" w:rsidP="00782D06">
      <w:pPr>
        <w:spacing w:line="480" w:lineRule="auto"/>
        <w:jc w:val="center"/>
        <w:rPr>
          <w:rFonts w:ascii="Times New Roman" w:hAnsi="Times New Roman" w:cs="Times New Roman"/>
          <w:sz w:val="24"/>
          <w:szCs w:val="24"/>
          <w:shd w:val="clear" w:color="auto" w:fill="FFFFFF"/>
        </w:rPr>
      </w:pPr>
      <w:r w:rsidRPr="00782D06">
        <w:rPr>
          <w:rFonts w:ascii="Times New Roman" w:hAnsi="Times New Roman" w:cs="Times New Roman"/>
          <w:sz w:val="24"/>
          <w:szCs w:val="24"/>
          <w:shd w:val="clear" w:color="auto" w:fill="FFFFFF"/>
        </w:rPr>
        <w:t>Instructor</w:t>
      </w:r>
    </w:p>
    <w:p w:rsidR="00782D06" w:rsidRPr="00782D06" w:rsidRDefault="00782D06" w:rsidP="00782D06">
      <w:pPr>
        <w:spacing w:line="480" w:lineRule="auto"/>
        <w:jc w:val="center"/>
        <w:rPr>
          <w:rFonts w:ascii="Times New Roman" w:hAnsi="Times New Roman" w:cs="Times New Roman"/>
          <w:sz w:val="24"/>
          <w:szCs w:val="24"/>
          <w:shd w:val="clear" w:color="auto" w:fill="FFFFFF"/>
        </w:rPr>
      </w:pPr>
      <w:r w:rsidRPr="00782D06">
        <w:rPr>
          <w:rFonts w:ascii="Times New Roman" w:hAnsi="Times New Roman" w:cs="Times New Roman"/>
          <w:sz w:val="24"/>
          <w:szCs w:val="24"/>
          <w:shd w:val="clear" w:color="auto" w:fill="FFFFFF"/>
        </w:rPr>
        <w:t>Course</w:t>
      </w:r>
    </w:p>
    <w:p w:rsidR="00782D06" w:rsidRPr="00782D06" w:rsidRDefault="00782D06" w:rsidP="00782D06">
      <w:pPr>
        <w:spacing w:line="480" w:lineRule="auto"/>
        <w:jc w:val="center"/>
        <w:rPr>
          <w:rFonts w:ascii="Times New Roman" w:hAnsi="Times New Roman" w:cs="Times New Roman"/>
          <w:sz w:val="24"/>
          <w:szCs w:val="24"/>
          <w:shd w:val="clear" w:color="auto" w:fill="FFFFFF"/>
        </w:rPr>
      </w:pPr>
      <w:r w:rsidRPr="00782D06">
        <w:rPr>
          <w:rFonts w:ascii="Times New Roman" w:hAnsi="Times New Roman" w:cs="Times New Roman"/>
          <w:sz w:val="24"/>
          <w:szCs w:val="24"/>
          <w:shd w:val="clear" w:color="auto" w:fill="FFFFFF"/>
        </w:rPr>
        <w:t>Date</w:t>
      </w:r>
    </w:p>
    <w:p w:rsidR="00782D06" w:rsidRPr="00782D06" w:rsidRDefault="00782D06" w:rsidP="00782D06">
      <w:pPr>
        <w:spacing w:line="480" w:lineRule="auto"/>
        <w:rPr>
          <w:rFonts w:ascii="Times New Roman" w:hAnsi="Times New Roman" w:cs="Times New Roman"/>
          <w:b/>
          <w:sz w:val="24"/>
          <w:szCs w:val="24"/>
        </w:rPr>
      </w:pPr>
    </w:p>
    <w:p w:rsidR="003E5144" w:rsidRPr="00782D06" w:rsidRDefault="003E5144" w:rsidP="00782D06">
      <w:pPr>
        <w:spacing w:line="480" w:lineRule="auto"/>
        <w:jc w:val="center"/>
        <w:rPr>
          <w:rFonts w:ascii="Times New Roman" w:hAnsi="Times New Roman" w:cs="Times New Roman"/>
          <w:b/>
          <w:sz w:val="24"/>
          <w:szCs w:val="24"/>
        </w:rPr>
      </w:pPr>
    </w:p>
    <w:p w:rsidR="003E5144" w:rsidRPr="00782D06" w:rsidRDefault="003E5144" w:rsidP="00782D06">
      <w:pPr>
        <w:spacing w:line="480" w:lineRule="auto"/>
        <w:jc w:val="center"/>
        <w:rPr>
          <w:rFonts w:ascii="Times New Roman" w:hAnsi="Times New Roman" w:cs="Times New Roman"/>
          <w:b/>
          <w:sz w:val="24"/>
          <w:szCs w:val="24"/>
        </w:rPr>
      </w:pPr>
    </w:p>
    <w:p w:rsidR="003E5144" w:rsidRDefault="003E5144" w:rsidP="00782D06">
      <w:pPr>
        <w:spacing w:line="480" w:lineRule="auto"/>
        <w:jc w:val="center"/>
        <w:rPr>
          <w:rFonts w:ascii="Times New Roman" w:hAnsi="Times New Roman" w:cs="Times New Roman"/>
          <w:b/>
          <w:sz w:val="24"/>
          <w:szCs w:val="24"/>
        </w:rPr>
      </w:pPr>
    </w:p>
    <w:p w:rsidR="00782D06" w:rsidRPr="00782D06" w:rsidRDefault="00782D06" w:rsidP="00782D06">
      <w:pPr>
        <w:spacing w:line="480" w:lineRule="auto"/>
        <w:jc w:val="center"/>
        <w:rPr>
          <w:rFonts w:ascii="Times New Roman" w:hAnsi="Times New Roman" w:cs="Times New Roman"/>
          <w:b/>
          <w:sz w:val="24"/>
          <w:szCs w:val="24"/>
        </w:rPr>
      </w:pPr>
    </w:p>
    <w:p w:rsidR="0057216C" w:rsidRPr="00782D06" w:rsidRDefault="0057216C" w:rsidP="00782D06">
      <w:pPr>
        <w:spacing w:line="480" w:lineRule="auto"/>
        <w:jc w:val="both"/>
        <w:rPr>
          <w:rFonts w:ascii="Times New Roman" w:hAnsi="Times New Roman" w:cs="Times New Roman"/>
          <w:sz w:val="24"/>
          <w:szCs w:val="24"/>
        </w:rPr>
      </w:pPr>
    </w:p>
    <w:p w:rsidR="00AB71ED" w:rsidRPr="00782D06" w:rsidRDefault="00AB71ED" w:rsidP="00782D06">
      <w:pPr>
        <w:spacing w:line="480" w:lineRule="auto"/>
        <w:ind w:firstLine="720"/>
        <w:jc w:val="both"/>
        <w:rPr>
          <w:rFonts w:ascii="Times New Roman" w:hAnsi="Times New Roman" w:cs="Times New Roman"/>
          <w:i/>
          <w:sz w:val="24"/>
          <w:szCs w:val="24"/>
        </w:rPr>
      </w:pPr>
      <w:bookmarkStart w:id="0" w:name="_GoBack"/>
      <w:bookmarkEnd w:id="0"/>
      <w:r w:rsidRPr="00782D06">
        <w:rPr>
          <w:rFonts w:ascii="Times New Roman" w:hAnsi="Times New Roman" w:cs="Times New Roman"/>
          <w:sz w:val="24"/>
          <w:szCs w:val="24"/>
        </w:rPr>
        <w:lastRenderedPageBreak/>
        <w:t>Passive misconduct involves a situation where an individual acts recklessly and avoids preventing a case/situation that is much predictable. The situation involved is always harmful. Once an individu</w:t>
      </w:r>
      <w:r w:rsidR="00757DA5" w:rsidRPr="00782D06">
        <w:rPr>
          <w:rFonts w:ascii="Times New Roman" w:hAnsi="Times New Roman" w:cs="Times New Roman"/>
          <w:sz w:val="24"/>
          <w:szCs w:val="24"/>
        </w:rPr>
        <w:t>al gets to foresee harm, either</w:t>
      </w:r>
      <w:r w:rsidR="00782D06">
        <w:rPr>
          <w:rFonts w:ascii="Times New Roman" w:hAnsi="Times New Roman" w:cs="Times New Roman"/>
          <w:sz w:val="24"/>
          <w:szCs w:val="24"/>
        </w:rPr>
        <w:t xml:space="preserve"> </w:t>
      </w:r>
      <w:r w:rsidR="00757DA5" w:rsidRPr="00782D06">
        <w:rPr>
          <w:rFonts w:ascii="Times New Roman" w:hAnsi="Times New Roman" w:cs="Times New Roman"/>
          <w:sz w:val="24"/>
          <w:szCs w:val="24"/>
        </w:rPr>
        <w:t xml:space="preserve">individually </w:t>
      </w:r>
      <w:r w:rsidRPr="00782D06">
        <w:rPr>
          <w:rFonts w:ascii="Times New Roman" w:hAnsi="Times New Roman" w:cs="Times New Roman"/>
          <w:sz w:val="24"/>
          <w:szCs w:val="24"/>
        </w:rPr>
        <w:t>or another person, it is expected by law that the individual takes the necessary steps to avoid any harm from taking place. Passive misconduct may lead to prosecution for a number of charges including manslaughter, negligence, and endangerment among others. In the case study, the crime committed by the mother of 8-year-old child falls under passive misconduct. She acted out of consciousness; she vividly knew the history of the boyfriend as abusive since he had abused them before on many occasions (Breen, 2016). Leaving the child under the custody of such an abusive person is a high degree of negligence. The probability that the boyfriend could abuse the child was very high, but the mother ignored such and left the child with him, hence endangering the child. Colbi’s mother should be convicted for the two charges (involuntary manslaughter and child endangerment) since she discerned a considerable and indefensible danger of demise existed and deliberately ignored it.</w:t>
      </w:r>
    </w:p>
    <w:p w:rsidR="00AB71ED" w:rsidRPr="00782D06" w:rsidRDefault="00AB71ED" w:rsidP="00782D06">
      <w:pPr>
        <w:spacing w:line="480" w:lineRule="auto"/>
        <w:ind w:firstLine="720"/>
        <w:jc w:val="both"/>
        <w:rPr>
          <w:rFonts w:ascii="Times New Roman" w:hAnsi="Times New Roman" w:cs="Times New Roman"/>
          <w:sz w:val="24"/>
          <w:szCs w:val="24"/>
        </w:rPr>
      </w:pPr>
      <w:r w:rsidRPr="00782D06">
        <w:rPr>
          <w:rFonts w:ascii="Times New Roman" w:hAnsi="Times New Roman" w:cs="Times New Roman"/>
          <w:sz w:val="24"/>
          <w:szCs w:val="24"/>
        </w:rPr>
        <w:t>Involuntary manslaughter</w:t>
      </w:r>
      <w:r w:rsidR="00954202" w:rsidRPr="00782D06">
        <w:rPr>
          <w:rFonts w:ascii="Times New Roman" w:hAnsi="Times New Roman" w:cs="Times New Roman"/>
          <w:sz w:val="24"/>
          <w:szCs w:val="24"/>
        </w:rPr>
        <w:t>:</w:t>
      </w:r>
      <w:r w:rsidRPr="00782D06">
        <w:rPr>
          <w:rFonts w:ascii="Times New Roman" w:hAnsi="Times New Roman" w:cs="Times New Roman"/>
          <w:sz w:val="24"/>
          <w:szCs w:val="24"/>
        </w:rPr>
        <w:t xml:space="preserve"> This charge is founded under Penal Law § 125.15 (1). The crime charged against the mother is the second-degree murder; she indirectly caused the death of her son, Colbi. Manslaughter is defined as causing the death of another person without full intention; however one may be aware that death is likely to occur by taking the action. In such cases, the danger needs to be of such nature and degree that disrespect thereof establishes a gross deviation from the set of behavior that a sensible individual would detect throughout the situation. Based on the record, Michael Flint was very abusive to an extent that the defendant feared him once he got angry; his actions were so extreme that the mother feared for her life as well. Such a person needs to be left alone once angry. It was very important for the mother to keep a close eye on the child always. The court used the following test to establish the guilt of the defendant. The proof displays that offender (mother) was fully aware, or nonetheless thought it likely, that Flint (boyfriend) was beating, quaking and biting Colbi (her child). The defendant discerned that her boyfriend was able to inflict substantial damage on a grown-up</w:t>
      </w:r>
      <w:r w:rsidR="00757DA5" w:rsidRPr="00782D06">
        <w:rPr>
          <w:rFonts w:ascii="Times New Roman" w:hAnsi="Times New Roman" w:cs="Times New Roman"/>
          <w:sz w:val="24"/>
          <w:szCs w:val="24"/>
        </w:rPr>
        <w:t xml:space="preserve">, the defendant. </w:t>
      </w:r>
      <w:r w:rsidRPr="00782D06">
        <w:rPr>
          <w:rFonts w:ascii="Times New Roman" w:hAnsi="Times New Roman" w:cs="Times New Roman"/>
          <w:sz w:val="24"/>
          <w:szCs w:val="24"/>
        </w:rPr>
        <w:t xml:space="preserve">She understood him of being capable to kill a small animal in anger (Zazula, 2015). The defendant was even afraid to advise the boyfriend (Flint) that, once angry, he needed to consider shaking the doll in place of Colbi. Despite such information, the defendant left </w:t>
      </w:r>
      <w:r w:rsidR="00954202" w:rsidRPr="00782D06">
        <w:rPr>
          <w:rFonts w:ascii="Times New Roman" w:hAnsi="Times New Roman" w:cs="Times New Roman"/>
          <w:sz w:val="24"/>
          <w:szCs w:val="24"/>
        </w:rPr>
        <w:t>Colbi with Flint</w:t>
      </w:r>
      <w:r w:rsidRPr="00782D06">
        <w:rPr>
          <w:rFonts w:ascii="Times New Roman" w:hAnsi="Times New Roman" w:cs="Times New Roman"/>
          <w:sz w:val="24"/>
          <w:szCs w:val="24"/>
        </w:rPr>
        <w:t xml:space="preserve"> on various occasions. By establishing that the mother knew all the risks</w:t>
      </w:r>
      <w:r w:rsidR="00757DA5" w:rsidRPr="00782D06">
        <w:rPr>
          <w:rFonts w:ascii="Times New Roman" w:hAnsi="Times New Roman" w:cs="Times New Roman"/>
          <w:sz w:val="24"/>
          <w:szCs w:val="24"/>
        </w:rPr>
        <w:t xml:space="preserve">, the jury gets convinced that of identified nature and degree that disrespect thereof establishes an overweight nonconformity from the normal of behavior that a sensible individual would detect in the circumstances </w:t>
      </w:r>
      <w:r w:rsidR="00954202" w:rsidRPr="00782D06">
        <w:rPr>
          <w:rFonts w:ascii="Times New Roman" w:hAnsi="Times New Roman" w:cs="Times New Roman"/>
          <w:color w:val="333333"/>
          <w:sz w:val="24"/>
          <w:szCs w:val="24"/>
          <w:shd w:val="clear" w:color="auto" w:fill="FFFFFF"/>
        </w:rPr>
        <w:t>(People v. Lewie, 953 N.E.2d 760 (NY 2011</w:t>
      </w:r>
      <w:r w:rsidR="00757DA5" w:rsidRPr="00782D06">
        <w:rPr>
          <w:rFonts w:ascii="Times New Roman" w:hAnsi="Times New Roman" w:cs="Times New Roman"/>
          <w:sz w:val="24"/>
          <w:szCs w:val="24"/>
        </w:rPr>
        <w:t>).</w:t>
      </w:r>
    </w:p>
    <w:p w:rsidR="00AB71ED" w:rsidRPr="00782D06" w:rsidRDefault="00AB71ED" w:rsidP="00782D06">
      <w:pPr>
        <w:spacing w:line="480" w:lineRule="auto"/>
        <w:ind w:firstLine="720"/>
        <w:jc w:val="both"/>
        <w:rPr>
          <w:rFonts w:ascii="Times New Roman" w:hAnsi="Times New Roman" w:cs="Times New Roman"/>
          <w:sz w:val="24"/>
          <w:szCs w:val="24"/>
        </w:rPr>
      </w:pPr>
      <w:r w:rsidRPr="00782D06">
        <w:rPr>
          <w:rFonts w:ascii="Times New Roman" w:hAnsi="Times New Roman" w:cs="Times New Roman"/>
          <w:sz w:val="24"/>
          <w:szCs w:val="24"/>
        </w:rPr>
        <w:t>Child endangerment</w:t>
      </w:r>
      <w:r w:rsidR="00954202" w:rsidRPr="00782D06">
        <w:rPr>
          <w:rFonts w:ascii="Times New Roman" w:hAnsi="Times New Roman" w:cs="Times New Roman"/>
          <w:sz w:val="24"/>
          <w:szCs w:val="24"/>
        </w:rPr>
        <w:t>:</w:t>
      </w:r>
      <w:r w:rsidR="00954202" w:rsidRPr="00782D06">
        <w:rPr>
          <w:rFonts w:ascii="Times New Roman" w:hAnsi="Times New Roman" w:cs="Times New Roman"/>
          <w:b/>
          <w:sz w:val="24"/>
          <w:szCs w:val="24"/>
        </w:rPr>
        <w:t xml:space="preserve"> </w:t>
      </w:r>
      <w:r w:rsidRPr="00782D06">
        <w:rPr>
          <w:rFonts w:ascii="Times New Roman" w:hAnsi="Times New Roman" w:cs="Times New Roman"/>
          <w:sz w:val="24"/>
          <w:szCs w:val="24"/>
        </w:rPr>
        <w:t>Penal Law § 120.25 defines endangerment as situations showing wicked insignificance to the life of human being, irresponsibly involved in behavior which generates a serious danger of demise to another being. The crime in question, a class D offense, is considered to be less grave in comparison to manslaughter in the second degree. However, the psychological liability essential to back up the defendant's irresponsible endangerment principle is greater than that compulsory to back her homicide conviction: for her to be considered guilty on the irresponsible endangerment count, the mother needs to have acted not only irresponsible but with debauched insignificance to human life as well. The applicable test to convict the defendant of child endangerment is founded on the fact that she feared the worst to happen when Flint was angry</w:t>
      </w:r>
      <w:r w:rsidR="003E5144" w:rsidRPr="00782D06">
        <w:rPr>
          <w:rFonts w:ascii="Times New Roman" w:hAnsi="Times New Roman" w:cs="Times New Roman"/>
          <w:sz w:val="24"/>
          <w:szCs w:val="24"/>
        </w:rPr>
        <w:t xml:space="preserve"> </w:t>
      </w:r>
      <w:r w:rsidR="00954202" w:rsidRPr="00782D06">
        <w:rPr>
          <w:rFonts w:ascii="Times New Roman" w:hAnsi="Times New Roman" w:cs="Times New Roman"/>
          <w:color w:val="333333"/>
          <w:sz w:val="24"/>
          <w:szCs w:val="24"/>
          <w:shd w:val="clear" w:color="auto" w:fill="FFFFFF"/>
        </w:rPr>
        <w:t>(People v. Lewie, 953 N.E.2d 760 (NY 2011</w:t>
      </w:r>
      <w:r w:rsidR="003E5144" w:rsidRPr="00782D06">
        <w:rPr>
          <w:rFonts w:ascii="Times New Roman" w:hAnsi="Times New Roman" w:cs="Times New Roman"/>
          <w:sz w:val="24"/>
          <w:szCs w:val="24"/>
        </w:rPr>
        <w:t>)</w:t>
      </w:r>
      <w:r w:rsidRPr="00782D06">
        <w:rPr>
          <w:rFonts w:ascii="Times New Roman" w:hAnsi="Times New Roman" w:cs="Times New Roman"/>
          <w:sz w:val="24"/>
          <w:szCs w:val="24"/>
        </w:rPr>
        <w:t xml:space="preserve">. She understood that his anger would threaten the life of anyone around him, but went ahead to leave her child under his custody. On many occasions, Colbi had been injured/bruised by Flint, acts that the defendant never reported to the police; instead, he tried covering them up every time. She even feared to address Flint on his behavior, an adult and a partner; she wished to tell him to be shaking the ted bear when angry than doing it on Colbi. This indicates that some of the abuses were taking place under her watch/presence, a case that might have lessened the severity at that time. For that reason, the defendant knew that leaving her son, Colbi, under the custody of Flint was endangering Colbi’s life. This makes her fully accountable for endangering the life of her own son. </w:t>
      </w:r>
    </w:p>
    <w:p w:rsidR="00C04C68" w:rsidRPr="00782D06" w:rsidRDefault="00AB71ED" w:rsidP="00782D06">
      <w:pPr>
        <w:spacing w:line="480" w:lineRule="auto"/>
        <w:ind w:firstLine="720"/>
        <w:jc w:val="both"/>
        <w:rPr>
          <w:rFonts w:ascii="Times New Roman" w:hAnsi="Times New Roman" w:cs="Times New Roman"/>
          <w:sz w:val="24"/>
          <w:szCs w:val="24"/>
        </w:rPr>
      </w:pPr>
      <w:r w:rsidRPr="00782D06">
        <w:rPr>
          <w:rFonts w:ascii="Times New Roman" w:hAnsi="Times New Roman" w:cs="Times New Roman"/>
          <w:sz w:val="24"/>
          <w:szCs w:val="24"/>
        </w:rPr>
        <w:t>In conclusion, Colbi’s mother should be convicted for the two charges (involuntary manslaughter and child endangerment) since she discerned a considerable and indefensible danger of demise existed and deliberately ignored it.</w:t>
      </w:r>
      <w:r w:rsidR="00954202" w:rsidRPr="00782D06">
        <w:rPr>
          <w:rFonts w:ascii="Times New Roman" w:hAnsi="Times New Roman" w:cs="Times New Roman"/>
          <w:sz w:val="24"/>
          <w:szCs w:val="24"/>
        </w:rPr>
        <w:t xml:space="preserve"> </w:t>
      </w:r>
      <w:r w:rsidRPr="00782D06">
        <w:rPr>
          <w:rFonts w:ascii="Times New Roman" w:hAnsi="Times New Roman" w:cs="Times New Roman"/>
          <w:sz w:val="24"/>
          <w:szCs w:val="24"/>
        </w:rPr>
        <w:t xml:space="preserve">Colbi’s mother could have done something to save the life of her son. Despite continued abuse, the defendant did not consider reporting her boyfriend to the authorities early enough. Also, after realizing a series of bruises on Colbi, as a result of abuse, the mother could have considered moving her son to a safer place, far away from </w:t>
      </w:r>
      <w:r w:rsidR="00954202" w:rsidRPr="00782D06">
        <w:rPr>
          <w:rFonts w:ascii="Times New Roman" w:hAnsi="Times New Roman" w:cs="Times New Roman"/>
          <w:sz w:val="24"/>
          <w:szCs w:val="24"/>
        </w:rPr>
        <w:t>Flint;</w:t>
      </w:r>
      <w:r w:rsidRPr="00782D06">
        <w:rPr>
          <w:rFonts w:ascii="Times New Roman" w:hAnsi="Times New Roman" w:cs="Times New Roman"/>
          <w:sz w:val="24"/>
          <w:szCs w:val="24"/>
        </w:rPr>
        <w:t xml:space="preserve"> this could have lessened the danger/harm of death that was much predictable as a result of the abusive boyfriend</w:t>
      </w:r>
      <w:r w:rsidR="00954202" w:rsidRPr="00782D06">
        <w:rPr>
          <w:rFonts w:ascii="Times New Roman" w:hAnsi="Times New Roman" w:cs="Times New Roman"/>
          <w:sz w:val="24"/>
          <w:szCs w:val="24"/>
        </w:rPr>
        <w:t xml:space="preserve"> </w:t>
      </w:r>
      <w:r w:rsidR="00954202" w:rsidRPr="00782D06">
        <w:rPr>
          <w:rFonts w:ascii="Times New Roman" w:hAnsi="Times New Roman" w:cs="Times New Roman"/>
          <w:color w:val="333333"/>
          <w:sz w:val="24"/>
          <w:szCs w:val="24"/>
          <w:shd w:val="clear" w:color="auto" w:fill="FFFFFF"/>
        </w:rPr>
        <w:t>(People v. Lewie, 953 N.E.2d 760 (NY 2011)</w:t>
      </w:r>
      <w:r w:rsidRPr="00782D06">
        <w:rPr>
          <w:rFonts w:ascii="Times New Roman" w:hAnsi="Times New Roman" w:cs="Times New Roman"/>
          <w:sz w:val="24"/>
          <w:szCs w:val="24"/>
        </w:rPr>
        <w:t>. Therefore, the defendant is at the center of it all, she was the key to this solution early enough. She failed to protect her child against her abusive boyfriend; instead, evidence shows that she tried covering the abuse all the time.</w:t>
      </w:r>
    </w:p>
    <w:p w:rsidR="005611A8" w:rsidRPr="00782D06" w:rsidRDefault="005611A8" w:rsidP="00782D06">
      <w:pPr>
        <w:spacing w:line="480" w:lineRule="auto"/>
        <w:jc w:val="both"/>
        <w:rPr>
          <w:rFonts w:ascii="Times New Roman" w:hAnsi="Times New Roman" w:cs="Times New Roman"/>
          <w:b/>
          <w:sz w:val="24"/>
          <w:szCs w:val="24"/>
        </w:rPr>
      </w:pPr>
    </w:p>
    <w:p w:rsidR="005611A8" w:rsidRPr="00782D06" w:rsidRDefault="005611A8" w:rsidP="00782D06">
      <w:pPr>
        <w:spacing w:line="480" w:lineRule="auto"/>
        <w:jc w:val="both"/>
        <w:rPr>
          <w:rFonts w:ascii="Times New Roman" w:hAnsi="Times New Roman" w:cs="Times New Roman"/>
          <w:b/>
          <w:sz w:val="24"/>
          <w:szCs w:val="24"/>
        </w:rPr>
      </w:pPr>
    </w:p>
    <w:p w:rsidR="005611A8" w:rsidRPr="00782D06" w:rsidRDefault="005611A8" w:rsidP="00782D06">
      <w:pPr>
        <w:spacing w:line="480" w:lineRule="auto"/>
        <w:jc w:val="both"/>
        <w:rPr>
          <w:rFonts w:ascii="Times New Roman" w:hAnsi="Times New Roman" w:cs="Times New Roman"/>
          <w:b/>
          <w:sz w:val="24"/>
          <w:szCs w:val="24"/>
        </w:rPr>
      </w:pPr>
    </w:p>
    <w:p w:rsidR="005611A8" w:rsidRPr="00782D06" w:rsidRDefault="005611A8" w:rsidP="00782D06">
      <w:pPr>
        <w:spacing w:line="480" w:lineRule="auto"/>
        <w:jc w:val="both"/>
        <w:rPr>
          <w:rFonts w:ascii="Times New Roman" w:hAnsi="Times New Roman" w:cs="Times New Roman"/>
          <w:b/>
          <w:sz w:val="24"/>
          <w:szCs w:val="24"/>
        </w:rPr>
      </w:pPr>
    </w:p>
    <w:p w:rsidR="00D52DD7" w:rsidRPr="00782D06" w:rsidRDefault="00D52DD7" w:rsidP="00782D06">
      <w:pPr>
        <w:spacing w:line="480" w:lineRule="auto"/>
        <w:jc w:val="center"/>
        <w:rPr>
          <w:rFonts w:ascii="Times New Roman" w:hAnsi="Times New Roman" w:cs="Times New Roman"/>
          <w:sz w:val="24"/>
          <w:szCs w:val="24"/>
        </w:rPr>
      </w:pPr>
      <w:r w:rsidRPr="00782D06">
        <w:rPr>
          <w:rFonts w:ascii="Times New Roman" w:hAnsi="Times New Roman" w:cs="Times New Roman"/>
          <w:sz w:val="24"/>
          <w:szCs w:val="24"/>
        </w:rPr>
        <w:t>References</w:t>
      </w:r>
    </w:p>
    <w:p w:rsidR="00D52DD7" w:rsidRPr="00782D06" w:rsidRDefault="00D52DD7" w:rsidP="00782D06">
      <w:pPr>
        <w:spacing w:line="480" w:lineRule="auto"/>
        <w:ind w:left="720" w:hanging="720"/>
        <w:jc w:val="both"/>
        <w:rPr>
          <w:rFonts w:ascii="Times New Roman" w:hAnsi="Times New Roman" w:cs="Times New Roman"/>
          <w:sz w:val="24"/>
          <w:szCs w:val="24"/>
        </w:rPr>
      </w:pPr>
      <w:r w:rsidRPr="00782D06">
        <w:rPr>
          <w:rFonts w:ascii="Times New Roman" w:hAnsi="Times New Roman" w:cs="Times New Roman"/>
          <w:color w:val="333333"/>
          <w:sz w:val="24"/>
          <w:szCs w:val="24"/>
          <w:shd w:val="clear" w:color="auto" w:fill="FFFFFF"/>
        </w:rPr>
        <w:t>People v. Lewie, 953 N.E.2d 760 (NY 2011) (New York Court of Appeals June 9, 2011).</w:t>
      </w:r>
      <w:r w:rsidRPr="00782D06">
        <w:rPr>
          <w:rFonts w:ascii="Times New Roman" w:hAnsi="Times New Roman" w:cs="Times New Roman"/>
          <w:sz w:val="24"/>
          <w:szCs w:val="24"/>
        </w:rPr>
        <w:t xml:space="preserve"> </w:t>
      </w:r>
      <w:hyperlink r:id="rId6" w:history="1">
        <w:r w:rsidRPr="00782D06">
          <w:rPr>
            <w:rStyle w:val="Hyperlink"/>
            <w:rFonts w:ascii="Times New Roman" w:eastAsia="Times New Roman" w:hAnsi="Times New Roman" w:cs="Times New Roman"/>
            <w:sz w:val="24"/>
            <w:szCs w:val="24"/>
            <w:lang w:eastAsia="en-GB"/>
          </w:rPr>
          <w:t>https://www.courtlistener.com/opinion/2524662/people-v-lewie/</w:t>
        </w:r>
      </w:hyperlink>
      <w:r w:rsidRPr="00782D06">
        <w:rPr>
          <w:rFonts w:ascii="Times New Roman" w:hAnsi="Times New Roman" w:cs="Times New Roman"/>
          <w:sz w:val="24"/>
          <w:szCs w:val="24"/>
        </w:rPr>
        <w:t xml:space="preserve"> </w:t>
      </w:r>
    </w:p>
    <w:p w:rsidR="00D52DD7" w:rsidRPr="00782D06" w:rsidRDefault="00D52DD7" w:rsidP="00782D06">
      <w:pPr>
        <w:spacing w:line="480" w:lineRule="auto"/>
        <w:ind w:left="720" w:hanging="720"/>
        <w:jc w:val="both"/>
        <w:rPr>
          <w:rFonts w:ascii="Times New Roman" w:hAnsi="Times New Roman" w:cs="Times New Roman"/>
          <w:i/>
          <w:sz w:val="24"/>
          <w:szCs w:val="24"/>
        </w:rPr>
      </w:pPr>
      <w:r w:rsidRPr="00782D06">
        <w:rPr>
          <w:rFonts w:ascii="Times New Roman" w:hAnsi="Times New Roman" w:cs="Times New Roman"/>
          <w:sz w:val="24"/>
          <w:szCs w:val="24"/>
        </w:rPr>
        <w:t xml:space="preserve">Breen, K. (2016). Research misconduct: time for a re-think?. </w:t>
      </w:r>
      <w:r w:rsidRPr="00782D06">
        <w:rPr>
          <w:rFonts w:ascii="Times New Roman" w:hAnsi="Times New Roman" w:cs="Times New Roman"/>
          <w:i/>
          <w:sz w:val="24"/>
          <w:szCs w:val="24"/>
        </w:rPr>
        <w:t>Internal Medicine Journal, 46(6), 728-733. doi: 10.1111/imj.13075</w:t>
      </w:r>
    </w:p>
    <w:p w:rsidR="00D52DD7" w:rsidRPr="00782D06" w:rsidRDefault="00D52DD7" w:rsidP="00782D06">
      <w:pPr>
        <w:spacing w:line="480" w:lineRule="auto"/>
        <w:ind w:left="720" w:hanging="720"/>
        <w:jc w:val="both"/>
        <w:rPr>
          <w:rFonts w:ascii="Times New Roman" w:hAnsi="Times New Roman" w:cs="Times New Roman"/>
          <w:i/>
          <w:sz w:val="24"/>
          <w:szCs w:val="24"/>
        </w:rPr>
      </w:pPr>
      <w:r w:rsidRPr="00782D06">
        <w:rPr>
          <w:rFonts w:ascii="Times New Roman" w:hAnsi="Times New Roman" w:cs="Times New Roman"/>
          <w:sz w:val="24"/>
          <w:szCs w:val="24"/>
        </w:rPr>
        <w:t>Zazula, B. (2015). Involuntary Manslaughter in The New Romanian Penal Code</w:t>
      </w:r>
      <w:r w:rsidRPr="00782D06">
        <w:rPr>
          <w:rFonts w:ascii="Times New Roman" w:hAnsi="Times New Roman" w:cs="Times New Roman"/>
          <w:i/>
          <w:sz w:val="24"/>
          <w:szCs w:val="24"/>
        </w:rPr>
        <w:t>. Journal Of Legal Studies, 16(30), 31-38. doi: 10.1515/jles-2015-0008</w:t>
      </w:r>
    </w:p>
    <w:p w:rsidR="00AB71ED" w:rsidRPr="00782D06" w:rsidRDefault="00AB71ED" w:rsidP="00782D06">
      <w:pPr>
        <w:spacing w:line="480" w:lineRule="auto"/>
        <w:jc w:val="both"/>
        <w:rPr>
          <w:rFonts w:ascii="Times New Roman" w:hAnsi="Times New Roman" w:cs="Times New Roman"/>
          <w:i/>
          <w:sz w:val="24"/>
          <w:szCs w:val="24"/>
        </w:rPr>
      </w:pPr>
    </w:p>
    <w:sectPr w:rsidR="00AB71ED" w:rsidRPr="00782D06" w:rsidSect="00782D0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8CF" w:rsidRDefault="00D608CF" w:rsidP="005611A8">
      <w:pPr>
        <w:spacing w:after="0" w:line="240" w:lineRule="auto"/>
      </w:pPr>
      <w:r>
        <w:separator/>
      </w:r>
    </w:p>
  </w:endnote>
  <w:endnote w:type="continuationSeparator" w:id="1">
    <w:p w:rsidR="00D608CF" w:rsidRDefault="00D608CF" w:rsidP="005611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493808"/>
      <w:docPartObj>
        <w:docPartGallery w:val="Page Numbers (Bottom of Page)"/>
        <w:docPartUnique/>
      </w:docPartObj>
    </w:sdtPr>
    <w:sdtEndPr>
      <w:rPr>
        <w:noProof/>
      </w:rPr>
    </w:sdtEndPr>
    <w:sdtContent>
      <w:p w:rsidR="005611A8" w:rsidRDefault="00B15CF9">
        <w:pPr>
          <w:pStyle w:val="Footer"/>
          <w:jc w:val="right"/>
        </w:pPr>
        <w:r>
          <w:fldChar w:fldCharType="begin"/>
        </w:r>
        <w:r w:rsidR="005611A8">
          <w:instrText xml:space="preserve"> PAGE   \* MERGEFORMAT </w:instrText>
        </w:r>
        <w:r>
          <w:fldChar w:fldCharType="separate"/>
        </w:r>
        <w:r w:rsidR="00782D06">
          <w:rPr>
            <w:noProof/>
          </w:rPr>
          <w:t>2</w:t>
        </w:r>
        <w:r>
          <w:rPr>
            <w:noProof/>
          </w:rPr>
          <w:fldChar w:fldCharType="end"/>
        </w:r>
      </w:p>
    </w:sdtContent>
  </w:sdt>
  <w:p w:rsidR="005611A8" w:rsidRDefault="005611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8CF" w:rsidRDefault="00D608CF" w:rsidP="005611A8">
      <w:pPr>
        <w:spacing w:after="0" w:line="240" w:lineRule="auto"/>
      </w:pPr>
      <w:r>
        <w:separator/>
      </w:r>
    </w:p>
  </w:footnote>
  <w:footnote w:type="continuationSeparator" w:id="1">
    <w:p w:rsidR="00D608CF" w:rsidRDefault="00D608CF" w:rsidP="005611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968660"/>
      <w:docPartObj>
        <w:docPartGallery w:val="Page Numbers (Top of Page)"/>
        <w:docPartUnique/>
      </w:docPartObj>
    </w:sdtPr>
    <w:sdtContent>
      <w:p w:rsidR="005611A8" w:rsidRPr="00782D06" w:rsidRDefault="00782D06">
        <w:pPr>
          <w:pStyle w:val="Header"/>
        </w:pPr>
        <w:r w:rsidRPr="00782D06">
          <w:rPr>
            <w:rFonts w:ascii="Times New Roman" w:hAnsi="Times New Roman" w:cs="Times New Roman"/>
            <w:sz w:val="24"/>
            <w:szCs w:val="24"/>
          </w:rPr>
          <w:t>ASSIGNMENT 1</w:t>
        </w:r>
        <w:r>
          <w:tab/>
        </w:r>
        <w:r>
          <w:tab/>
        </w:r>
        <w:fldSimple w:instr=" PAGE   \* MERGEFORMAT ">
          <w:r>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06" w:rsidRPr="00782D06" w:rsidRDefault="00782D06" w:rsidP="00782D06">
    <w:pPr>
      <w:pStyle w:val="Header"/>
      <w:jc w:val="right"/>
      <w:rPr>
        <w:rFonts w:ascii="Times New Roman" w:hAnsi="Times New Roman" w:cs="Times New Roman"/>
        <w:sz w:val="24"/>
        <w:szCs w:val="24"/>
      </w:rPr>
    </w:pPr>
    <w:r w:rsidRPr="00782D06">
      <w:rPr>
        <w:rFonts w:ascii="Times New Roman" w:hAnsi="Times New Roman" w:cs="Times New Roman"/>
        <w:sz w:val="24"/>
        <w:szCs w:val="24"/>
      </w:rPr>
      <w:t>Running head: ASSIGNMENT 1</w:t>
    </w:r>
    <w:r w:rsidRPr="00782D06">
      <w:rPr>
        <w:rFonts w:ascii="Times New Roman" w:hAnsi="Times New Roman" w:cs="Times New Roman"/>
        <w:sz w:val="24"/>
        <w:szCs w:val="24"/>
      </w:rPr>
      <w:tab/>
    </w:r>
    <w:r w:rsidRPr="00782D06">
      <w:rPr>
        <w:rFonts w:ascii="Times New Roman" w:hAnsi="Times New Roman" w:cs="Times New Roman"/>
        <w:sz w:val="24"/>
        <w:szCs w:val="24"/>
      </w:rPr>
      <w:tab/>
    </w:r>
    <w:sdt>
      <w:sdtPr>
        <w:rPr>
          <w:rFonts w:ascii="Times New Roman" w:hAnsi="Times New Roman" w:cs="Times New Roman"/>
          <w:sz w:val="24"/>
          <w:szCs w:val="24"/>
        </w:rPr>
        <w:id w:val="22968628"/>
        <w:docPartObj>
          <w:docPartGallery w:val="Page Numbers (Top of Page)"/>
          <w:docPartUnique/>
        </w:docPartObj>
      </w:sdtPr>
      <w:sdtContent>
        <w:r w:rsidRPr="00782D06">
          <w:rPr>
            <w:rFonts w:ascii="Times New Roman" w:hAnsi="Times New Roman" w:cs="Times New Roman"/>
            <w:sz w:val="24"/>
            <w:szCs w:val="24"/>
          </w:rPr>
          <w:fldChar w:fldCharType="begin"/>
        </w:r>
        <w:r w:rsidRPr="00782D06">
          <w:rPr>
            <w:rFonts w:ascii="Times New Roman" w:hAnsi="Times New Roman" w:cs="Times New Roman"/>
            <w:sz w:val="24"/>
            <w:szCs w:val="24"/>
          </w:rPr>
          <w:instrText xml:space="preserve"> PAGE   \* MERGEFORMAT </w:instrText>
        </w:r>
        <w:r w:rsidRPr="00782D06">
          <w:rPr>
            <w:rFonts w:ascii="Times New Roman" w:hAnsi="Times New Roman" w:cs="Times New Roman"/>
            <w:sz w:val="24"/>
            <w:szCs w:val="24"/>
          </w:rPr>
          <w:fldChar w:fldCharType="separate"/>
        </w:r>
        <w:r w:rsidR="00D608CF">
          <w:rPr>
            <w:rFonts w:ascii="Times New Roman" w:hAnsi="Times New Roman" w:cs="Times New Roman"/>
            <w:noProof/>
            <w:sz w:val="24"/>
            <w:szCs w:val="24"/>
          </w:rPr>
          <w:t>1</w:t>
        </w:r>
        <w:r w:rsidRPr="00782D0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423EA"/>
    <w:rsid w:val="00025EB3"/>
    <w:rsid w:val="00091332"/>
    <w:rsid w:val="00110481"/>
    <w:rsid w:val="00120295"/>
    <w:rsid w:val="001F77FF"/>
    <w:rsid w:val="002012A4"/>
    <w:rsid w:val="00214392"/>
    <w:rsid w:val="0021516C"/>
    <w:rsid w:val="00263B60"/>
    <w:rsid w:val="0027637E"/>
    <w:rsid w:val="002A68C6"/>
    <w:rsid w:val="003135F5"/>
    <w:rsid w:val="00325279"/>
    <w:rsid w:val="00360397"/>
    <w:rsid w:val="003A7BC9"/>
    <w:rsid w:val="003E5144"/>
    <w:rsid w:val="00441BEF"/>
    <w:rsid w:val="004431D3"/>
    <w:rsid w:val="00455DEC"/>
    <w:rsid w:val="0046026B"/>
    <w:rsid w:val="004C2BCD"/>
    <w:rsid w:val="005303E7"/>
    <w:rsid w:val="005611A8"/>
    <w:rsid w:val="0057216C"/>
    <w:rsid w:val="005D623A"/>
    <w:rsid w:val="005E7151"/>
    <w:rsid w:val="005F3D2A"/>
    <w:rsid w:val="00603AA5"/>
    <w:rsid w:val="00680EE8"/>
    <w:rsid w:val="006A2255"/>
    <w:rsid w:val="006D25D4"/>
    <w:rsid w:val="00701790"/>
    <w:rsid w:val="007203E4"/>
    <w:rsid w:val="007423EA"/>
    <w:rsid w:val="00757DA5"/>
    <w:rsid w:val="00782D06"/>
    <w:rsid w:val="008371CF"/>
    <w:rsid w:val="00842412"/>
    <w:rsid w:val="008918DB"/>
    <w:rsid w:val="008C02AB"/>
    <w:rsid w:val="00914E5B"/>
    <w:rsid w:val="009439AB"/>
    <w:rsid w:val="00954202"/>
    <w:rsid w:val="009979F9"/>
    <w:rsid w:val="009B5841"/>
    <w:rsid w:val="009D5163"/>
    <w:rsid w:val="00A04B6A"/>
    <w:rsid w:val="00A33F84"/>
    <w:rsid w:val="00A77A85"/>
    <w:rsid w:val="00A9676A"/>
    <w:rsid w:val="00AA4F35"/>
    <w:rsid w:val="00AB71ED"/>
    <w:rsid w:val="00AC2407"/>
    <w:rsid w:val="00B01623"/>
    <w:rsid w:val="00B04D6A"/>
    <w:rsid w:val="00B15CF9"/>
    <w:rsid w:val="00B1615F"/>
    <w:rsid w:val="00B62A97"/>
    <w:rsid w:val="00B92648"/>
    <w:rsid w:val="00BC7B78"/>
    <w:rsid w:val="00C04C68"/>
    <w:rsid w:val="00C11339"/>
    <w:rsid w:val="00C30094"/>
    <w:rsid w:val="00CE47EE"/>
    <w:rsid w:val="00CF1367"/>
    <w:rsid w:val="00CF2C1E"/>
    <w:rsid w:val="00D20816"/>
    <w:rsid w:val="00D349F6"/>
    <w:rsid w:val="00D523B5"/>
    <w:rsid w:val="00D52DD7"/>
    <w:rsid w:val="00D608CF"/>
    <w:rsid w:val="00D93185"/>
    <w:rsid w:val="00DB7F77"/>
    <w:rsid w:val="00E0502E"/>
    <w:rsid w:val="00E333EA"/>
    <w:rsid w:val="00E34D1A"/>
    <w:rsid w:val="00EA276C"/>
    <w:rsid w:val="00EC5C10"/>
    <w:rsid w:val="00EF69A1"/>
    <w:rsid w:val="00F155BE"/>
    <w:rsid w:val="00F51B52"/>
    <w:rsid w:val="00F94925"/>
    <w:rsid w:val="00FB164A"/>
    <w:rsid w:val="00FF32A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C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1A8"/>
  </w:style>
  <w:style w:type="paragraph" w:styleId="Footer">
    <w:name w:val="footer"/>
    <w:basedOn w:val="Normal"/>
    <w:link w:val="FooterChar"/>
    <w:uiPriority w:val="99"/>
    <w:unhideWhenUsed/>
    <w:rsid w:val="00561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1A8"/>
  </w:style>
  <w:style w:type="paragraph" w:styleId="BalloonText">
    <w:name w:val="Balloon Text"/>
    <w:basedOn w:val="Normal"/>
    <w:link w:val="BalloonTextChar"/>
    <w:uiPriority w:val="99"/>
    <w:semiHidden/>
    <w:unhideWhenUsed/>
    <w:rsid w:val="001104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481"/>
    <w:rPr>
      <w:rFonts w:ascii="Tahoma" w:hAnsi="Tahoma" w:cs="Tahoma"/>
      <w:sz w:val="16"/>
      <w:szCs w:val="16"/>
    </w:rPr>
  </w:style>
  <w:style w:type="character" w:styleId="Hyperlink">
    <w:name w:val="Hyperlink"/>
    <w:basedOn w:val="DefaultParagraphFont"/>
    <w:uiPriority w:val="99"/>
    <w:unhideWhenUsed/>
    <w:rsid w:val="00D52D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1A8"/>
  </w:style>
  <w:style w:type="paragraph" w:styleId="Footer">
    <w:name w:val="footer"/>
    <w:basedOn w:val="Normal"/>
    <w:link w:val="FooterChar"/>
    <w:uiPriority w:val="99"/>
    <w:unhideWhenUsed/>
    <w:rsid w:val="00561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1A8"/>
  </w:style>
  <w:style w:type="paragraph" w:styleId="BalloonText">
    <w:name w:val="Balloon Text"/>
    <w:basedOn w:val="Normal"/>
    <w:link w:val="BalloonTextChar"/>
    <w:uiPriority w:val="99"/>
    <w:semiHidden/>
    <w:unhideWhenUsed/>
    <w:rsid w:val="001104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4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urtlistener.com/opinion/2524662/people-v-lewi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Kelvin Jackson</cp:lastModifiedBy>
  <cp:revision>2</cp:revision>
  <dcterms:created xsi:type="dcterms:W3CDTF">2018-12-18T20:21:00Z</dcterms:created>
  <dcterms:modified xsi:type="dcterms:W3CDTF">2018-12-18T20:21:00Z</dcterms:modified>
</cp:coreProperties>
</file>