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B93D4A" w:rsidP="00642E7A">
      <w:pPr>
        <w:spacing w:line="480" w:lineRule="auto"/>
        <w:contextualSpacing/>
        <w:jc w:val="center"/>
        <w:rPr>
          <w:lang w:val="en-US"/>
        </w:rPr>
      </w:pPr>
      <w:r w:rsidRPr="00FA37AB">
        <w:rPr>
          <w:lang w:val="en-US"/>
        </w:rPr>
        <w:t>Paper Title Capitalized and Centered</w:t>
      </w:r>
    </w:p>
    <w:p w:rsidR="00642E7A" w:rsidRPr="00FA37AB" w:rsidRDefault="00A620A3" w:rsidP="00642E7A">
      <w:pPr>
        <w:spacing w:line="480" w:lineRule="auto"/>
        <w:contextualSpacing/>
        <w:jc w:val="center"/>
        <w:rPr>
          <w:lang w:val="en-US"/>
        </w:rPr>
      </w:pPr>
      <w:r w:rsidRPr="00FA37AB">
        <w:rPr>
          <w:lang w:val="en-US"/>
        </w:rPr>
        <w:t>Name of Student</w:t>
      </w:r>
    </w:p>
    <w:p w:rsidR="00642E7A" w:rsidRPr="00FA37AB" w:rsidRDefault="008100C2" w:rsidP="008100C2">
      <w:pPr>
        <w:spacing w:line="480" w:lineRule="auto"/>
        <w:contextualSpacing/>
        <w:jc w:val="center"/>
        <w:rPr>
          <w:lang w:val="en-US"/>
        </w:rPr>
      </w:pPr>
      <w:r w:rsidRPr="00FA37AB">
        <w:rPr>
          <w:lang w:val="en-US"/>
        </w:rPr>
        <w:t>Institution affiliation</w:t>
      </w: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474220" w:rsidRPr="00FA37AB" w:rsidRDefault="00474220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642E7A" w:rsidRPr="00FA37AB" w:rsidRDefault="00642E7A" w:rsidP="00642E7A">
      <w:pPr>
        <w:spacing w:line="480" w:lineRule="auto"/>
        <w:contextualSpacing/>
        <w:jc w:val="center"/>
        <w:rPr>
          <w:lang w:val="en-US"/>
        </w:rPr>
      </w:pPr>
    </w:p>
    <w:p w:rsidR="00CB69C9" w:rsidRPr="00FA37AB" w:rsidRDefault="00CB69C9" w:rsidP="00CB69C9">
      <w:pPr>
        <w:shd w:val="clear" w:color="auto" w:fill="FFFFFF"/>
        <w:spacing w:before="180" w:after="180"/>
        <w:rPr>
          <w:color w:val="2D3B45"/>
        </w:rPr>
      </w:pPr>
    </w:p>
    <w:p w:rsidR="00CB69C9" w:rsidRPr="00FA37AB" w:rsidRDefault="00CB69C9" w:rsidP="00CB69C9">
      <w:pPr>
        <w:shd w:val="clear" w:color="auto" w:fill="FFFFFF"/>
        <w:spacing w:before="180" w:after="180"/>
        <w:rPr>
          <w:color w:val="2D3B45"/>
        </w:rPr>
      </w:pPr>
      <w:r w:rsidRPr="00FA37AB">
        <w:rPr>
          <w:color w:val="2D3B45"/>
        </w:rPr>
        <w:tab/>
      </w:r>
      <w:r w:rsidRPr="00FA37AB">
        <w:rPr>
          <w:color w:val="2D3B45"/>
        </w:rPr>
        <w:tab/>
      </w:r>
      <w:r w:rsidRPr="00FA37AB">
        <w:rPr>
          <w:color w:val="2D3B45"/>
        </w:rPr>
        <w:tab/>
      </w:r>
      <w:r w:rsidRPr="00FA37AB">
        <w:rPr>
          <w:color w:val="2D3B45"/>
        </w:rPr>
        <w:tab/>
      </w:r>
      <w:r w:rsidRPr="00FA37AB">
        <w:rPr>
          <w:color w:val="2D3B45"/>
        </w:rPr>
        <w:tab/>
        <w:t>MEDICAL PRESCRIPTION</w:t>
      </w:r>
    </w:p>
    <w:p w:rsidR="00CB69C9" w:rsidRPr="00FA37AB" w:rsidRDefault="00CB69C9" w:rsidP="00CB69C9">
      <w:pPr>
        <w:shd w:val="clear" w:color="auto" w:fill="FFFFFF"/>
        <w:spacing w:before="180" w:after="180"/>
        <w:rPr>
          <w:color w:val="2D3B45"/>
        </w:rPr>
      </w:pPr>
      <w:r w:rsidRPr="00FA37AB">
        <w:rPr>
          <w:color w:val="2D3B45"/>
        </w:rPr>
        <w:lastRenderedPageBreak/>
        <w:t>Nam Nguyen medical prescription</w:t>
      </w:r>
    </w:p>
    <w:p w:rsidR="00CB69C9" w:rsidRPr="00FA37AB" w:rsidRDefault="00CB69C9" w:rsidP="00CB69C9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1095"/>
        <w:rPr>
          <w:color w:val="2D3B45"/>
        </w:rPr>
      </w:pPr>
      <w:r w:rsidRPr="00FA37AB">
        <w:rPr>
          <w:color w:val="2D3B45"/>
        </w:rPr>
        <w:t>Lisinopril 20 mg PO daily</w:t>
      </w:r>
    </w:p>
    <w:p w:rsidR="00CB69C9" w:rsidRPr="00FA37AB" w:rsidRDefault="00CB69C9" w:rsidP="00CB69C9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1095"/>
        <w:rPr>
          <w:color w:val="2D3B45"/>
        </w:rPr>
      </w:pPr>
      <w:r w:rsidRPr="00FA37AB">
        <w:rPr>
          <w:color w:val="2D3B45"/>
        </w:rPr>
        <w:t>Hydrochlorothiazide 25 mg PO daily in the a.m.</w:t>
      </w:r>
    </w:p>
    <w:p w:rsidR="00CB69C9" w:rsidRPr="00FA37AB" w:rsidRDefault="00CB69C9" w:rsidP="00CB69C9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1095"/>
        <w:rPr>
          <w:color w:val="2D3B45"/>
        </w:rPr>
      </w:pPr>
      <w:r w:rsidRPr="00FA37AB">
        <w:rPr>
          <w:color w:val="2D3B45"/>
        </w:rPr>
        <w:t>Metformin 500 mg PO before breakfast and lunch</w:t>
      </w:r>
    </w:p>
    <w:p w:rsidR="00CB69C9" w:rsidRPr="00FA37AB" w:rsidRDefault="00CB69C9" w:rsidP="00FD14F6">
      <w:pPr>
        <w:spacing w:line="480" w:lineRule="auto"/>
        <w:contextualSpacing/>
        <w:rPr>
          <w:lang w:val="en-US"/>
        </w:rPr>
      </w:pPr>
    </w:p>
    <w:p w:rsidR="00CB69C9" w:rsidRPr="00FA37AB" w:rsidRDefault="00CB69C9" w:rsidP="00FD14F6">
      <w:pPr>
        <w:spacing w:line="480" w:lineRule="auto"/>
        <w:contextualSpacing/>
        <w:rPr>
          <w:lang w:val="en-US"/>
        </w:rPr>
      </w:pPr>
    </w:p>
    <w:p w:rsidR="00CB69C9" w:rsidRPr="00FA37AB" w:rsidRDefault="00FD14F6" w:rsidP="00FD14F6">
      <w:pPr>
        <w:spacing w:line="480" w:lineRule="auto"/>
        <w:contextualSpacing/>
        <w:rPr>
          <w:lang w:val="en-US"/>
        </w:rPr>
      </w:pPr>
      <w:r w:rsidRPr="00FA37AB">
        <w:rPr>
          <w:lang w:val="en-US"/>
        </w:rPr>
        <w:t>Electrolyte laboratory results review</w:t>
      </w:r>
    </w:p>
    <w:tbl>
      <w:tblPr>
        <w:tblW w:w="38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1758"/>
      </w:tblGrid>
      <w:tr w:rsidR="00CB69C9" w:rsidRPr="00FA37AB" w:rsidTr="004A3F8E">
        <w:trPr>
          <w:trHeight w:val="720"/>
        </w:trPr>
        <w:tc>
          <w:tcPr>
            <w:tcW w:w="189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Sodium</w:t>
            </w:r>
          </w:p>
        </w:tc>
        <w:tc>
          <w:tcPr>
            <w:tcW w:w="16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136 mEq/L</w:t>
            </w:r>
          </w:p>
        </w:tc>
      </w:tr>
      <w:tr w:rsidR="00CB69C9" w:rsidRPr="00FA37AB" w:rsidTr="004A3F8E">
        <w:trPr>
          <w:trHeight w:val="720"/>
        </w:trPr>
        <w:tc>
          <w:tcPr>
            <w:tcW w:w="189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Potassium</w:t>
            </w:r>
          </w:p>
        </w:tc>
        <w:tc>
          <w:tcPr>
            <w:tcW w:w="16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3.0 mEq/L</w:t>
            </w:r>
          </w:p>
        </w:tc>
      </w:tr>
      <w:tr w:rsidR="00CB69C9" w:rsidRPr="00FA37AB" w:rsidTr="004A3F8E">
        <w:trPr>
          <w:trHeight w:val="720"/>
        </w:trPr>
        <w:tc>
          <w:tcPr>
            <w:tcW w:w="189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Chloride</w:t>
            </w:r>
          </w:p>
        </w:tc>
        <w:tc>
          <w:tcPr>
            <w:tcW w:w="16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96 mEq/L</w:t>
            </w:r>
          </w:p>
        </w:tc>
      </w:tr>
      <w:tr w:rsidR="00CB69C9" w:rsidRPr="00FA37AB" w:rsidTr="004A3F8E">
        <w:trPr>
          <w:trHeight w:val="720"/>
        </w:trPr>
        <w:tc>
          <w:tcPr>
            <w:tcW w:w="189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Bicarbonate</w:t>
            </w:r>
          </w:p>
        </w:tc>
        <w:tc>
          <w:tcPr>
            <w:tcW w:w="16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24 mEq/L</w:t>
            </w:r>
          </w:p>
        </w:tc>
      </w:tr>
      <w:tr w:rsidR="00CB69C9" w:rsidRPr="00FA37AB" w:rsidTr="004A3F8E">
        <w:trPr>
          <w:trHeight w:val="720"/>
        </w:trPr>
        <w:tc>
          <w:tcPr>
            <w:tcW w:w="189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BUN</w:t>
            </w:r>
          </w:p>
        </w:tc>
        <w:tc>
          <w:tcPr>
            <w:tcW w:w="16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18 mg/</w:t>
            </w:r>
            <w:r w:rsidR="00FA37AB" w:rsidRPr="00FA37AB">
              <w:t>Dl</w:t>
            </w:r>
          </w:p>
        </w:tc>
      </w:tr>
      <w:tr w:rsidR="00CB69C9" w:rsidRPr="00FA37AB" w:rsidTr="004A3F8E">
        <w:trPr>
          <w:trHeight w:val="495"/>
        </w:trPr>
        <w:tc>
          <w:tcPr>
            <w:tcW w:w="189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Creatinine</w:t>
            </w:r>
          </w:p>
        </w:tc>
        <w:tc>
          <w:tcPr>
            <w:tcW w:w="16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69C9" w:rsidRPr="00FA37AB" w:rsidRDefault="00CB69C9" w:rsidP="004A3F8E">
            <w:pPr>
              <w:spacing w:before="180" w:after="180"/>
            </w:pPr>
            <w:r w:rsidRPr="00FA37AB">
              <w:t>0.8 mg/</w:t>
            </w:r>
            <w:r w:rsidR="00FA37AB" w:rsidRPr="00FA37AB">
              <w:t>Dl</w:t>
            </w:r>
          </w:p>
        </w:tc>
      </w:tr>
    </w:tbl>
    <w:p w:rsidR="00CB69C9" w:rsidRPr="00FA37AB" w:rsidRDefault="00CB69C9" w:rsidP="00FD14F6">
      <w:pPr>
        <w:spacing w:line="480" w:lineRule="auto"/>
        <w:contextualSpacing/>
        <w:rPr>
          <w:lang w:val="en-US"/>
        </w:rPr>
      </w:pPr>
    </w:p>
    <w:p w:rsidR="00F77005" w:rsidRPr="00FA37AB" w:rsidRDefault="00CB69C9" w:rsidP="00CB69C9">
      <w:pPr>
        <w:spacing w:line="480" w:lineRule="auto"/>
        <w:ind w:left="2880" w:firstLine="720"/>
        <w:contextualSpacing/>
        <w:rPr>
          <w:lang w:val="en-US"/>
        </w:rPr>
      </w:pPr>
      <w:proofErr w:type="spellStart"/>
      <w:r w:rsidRPr="00FA37AB">
        <w:rPr>
          <w:lang w:val="en-US"/>
        </w:rPr>
        <w:t>Discusion</w:t>
      </w:r>
      <w:proofErr w:type="spellEnd"/>
    </w:p>
    <w:p w:rsidR="004210F2" w:rsidRPr="00FA37AB" w:rsidRDefault="00F77005" w:rsidP="00F77005">
      <w:pPr>
        <w:spacing w:line="480" w:lineRule="auto"/>
        <w:contextualSpacing/>
        <w:rPr>
          <w:lang w:val="en-US"/>
        </w:rPr>
      </w:pPr>
      <w:r w:rsidRPr="00FA37AB">
        <w:rPr>
          <w:lang w:val="en-US"/>
        </w:rPr>
        <w:t xml:space="preserve">The results supported my hypothesis that Lisinopril is </w:t>
      </w:r>
      <w:r w:rsidR="004210F2" w:rsidRPr="00FA37AB">
        <w:rPr>
          <w:lang w:val="en-US"/>
        </w:rPr>
        <w:t>the ACED</w:t>
      </w:r>
      <w:r w:rsidR="00937286" w:rsidRPr="00FA37AB">
        <w:rPr>
          <w:lang w:val="en-US"/>
        </w:rPr>
        <w:t xml:space="preserve"> drug which help to prevent stroke, kidney problem and heart attack. The threshold value of </w:t>
      </w:r>
      <w:proofErr w:type="spellStart"/>
      <w:r w:rsidR="00937286" w:rsidRPr="00FA37AB">
        <w:rPr>
          <w:lang w:val="en-US"/>
        </w:rPr>
        <w:t>hydrochlorthiaxide</w:t>
      </w:r>
      <w:proofErr w:type="spellEnd"/>
      <w:r w:rsidR="00937286" w:rsidRPr="00FA37AB">
        <w:rPr>
          <w:lang w:val="en-US"/>
        </w:rPr>
        <w:t xml:space="preserve"> is a </w:t>
      </w:r>
      <w:proofErr w:type="spellStart"/>
      <w:r w:rsidR="00937286" w:rsidRPr="00FA37AB">
        <w:rPr>
          <w:lang w:val="en-US"/>
        </w:rPr>
        <w:t>diutetic</w:t>
      </w:r>
      <w:proofErr w:type="spellEnd"/>
      <w:r w:rsidR="00937286" w:rsidRPr="00FA37AB">
        <w:rPr>
          <w:lang w:val="en-US"/>
        </w:rPr>
        <w:t xml:space="preserve"> which helps in treatment of fluid </w:t>
      </w:r>
      <w:r w:rsidR="004210F2" w:rsidRPr="00FA37AB">
        <w:rPr>
          <w:lang w:val="en-US"/>
        </w:rPr>
        <w:t>retention</w:t>
      </w:r>
      <w:r w:rsidR="00937286" w:rsidRPr="00FA37AB">
        <w:rPr>
          <w:lang w:val="en-US"/>
        </w:rPr>
        <w:t xml:space="preserve">. </w:t>
      </w:r>
      <w:r w:rsidR="004210F2" w:rsidRPr="00FA37AB">
        <w:rPr>
          <w:lang w:val="en-US"/>
        </w:rPr>
        <w:t>Metformin</w:t>
      </w:r>
      <w:r w:rsidR="00937286" w:rsidRPr="00FA37AB">
        <w:rPr>
          <w:lang w:val="en-US"/>
        </w:rPr>
        <w:t xml:space="preserve"> </w:t>
      </w:r>
      <w:proofErr w:type="spellStart"/>
      <w:r w:rsidR="00937286" w:rsidRPr="00FA37AB">
        <w:rPr>
          <w:lang w:val="en-US"/>
        </w:rPr>
        <w:t>fum</w:t>
      </w:r>
      <w:proofErr w:type="spellEnd"/>
      <w:r w:rsidR="00937286" w:rsidRPr="00FA37AB">
        <w:rPr>
          <w:lang w:val="en-US"/>
        </w:rPr>
        <w:t xml:space="preserve"> helps in the </w:t>
      </w:r>
      <w:proofErr w:type="spellStart"/>
      <w:r w:rsidR="00937286" w:rsidRPr="00FA37AB">
        <w:rPr>
          <w:lang w:val="en-US"/>
        </w:rPr>
        <w:t>improvent</w:t>
      </w:r>
      <w:proofErr w:type="spellEnd"/>
      <w:r w:rsidR="00937286" w:rsidRPr="00FA37AB">
        <w:rPr>
          <w:lang w:val="en-US"/>
        </w:rPr>
        <w:t xml:space="preserve"> of the </w:t>
      </w:r>
      <w:proofErr w:type="spellStart"/>
      <w:r w:rsidR="00937286" w:rsidRPr="00FA37AB">
        <w:rPr>
          <w:lang w:val="en-US"/>
        </w:rPr>
        <w:t>nervours</w:t>
      </w:r>
      <w:proofErr w:type="spellEnd"/>
      <w:r w:rsidR="00937286" w:rsidRPr="00FA37AB">
        <w:rPr>
          <w:lang w:val="en-US"/>
        </w:rPr>
        <w:t xml:space="preserve"> system. All </w:t>
      </w:r>
      <w:r w:rsidR="004210F2" w:rsidRPr="00FA37AB">
        <w:rPr>
          <w:lang w:val="en-US"/>
        </w:rPr>
        <w:t xml:space="preserve">the values from the results are </w:t>
      </w:r>
      <w:proofErr w:type="spellStart"/>
      <w:r w:rsidR="004210F2" w:rsidRPr="00FA37AB">
        <w:rPr>
          <w:lang w:val="en-US"/>
        </w:rPr>
        <w:t>nomal</w:t>
      </w:r>
      <w:proofErr w:type="spellEnd"/>
      <w:r w:rsidR="004210F2" w:rsidRPr="00FA37AB">
        <w:rPr>
          <w:lang w:val="en-US"/>
        </w:rPr>
        <w:t xml:space="preserve"> except serum potassium level, this an indication that Nam Nguyen is suffering from hypokalemia. The reason for the disease might be the family history of </w:t>
      </w:r>
      <w:proofErr w:type="spellStart"/>
      <w:r w:rsidR="004210F2" w:rsidRPr="00FA37AB">
        <w:rPr>
          <w:lang w:val="en-US"/>
        </w:rPr>
        <w:t>nam</w:t>
      </w:r>
      <w:proofErr w:type="spellEnd"/>
      <w:r w:rsidR="004210F2" w:rsidRPr="00FA37AB">
        <w:rPr>
          <w:lang w:val="en-US"/>
        </w:rPr>
        <w:t>.</w:t>
      </w:r>
    </w:p>
    <w:p w:rsidR="00CB69C9" w:rsidRPr="00FA37AB" w:rsidRDefault="00CB69C9" w:rsidP="00CB69C9">
      <w:pPr>
        <w:spacing w:line="480" w:lineRule="auto"/>
        <w:ind w:left="2160" w:firstLine="720"/>
        <w:contextualSpacing/>
        <w:rPr>
          <w:b/>
          <w:lang w:val="en-US"/>
        </w:rPr>
      </w:pPr>
      <w:r w:rsidRPr="00FA37AB">
        <w:rPr>
          <w:b/>
          <w:lang w:val="en-US"/>
        </w:rPr>
        <w:t>Teachings</w:t>
      </w:r>
    </w:p>
    <w:p w:rsidR="005650A0" w:rsidRPr="00FA37AB" w:rsidRDefault="004210F2" w:rsidP="009B11F6">
      <w:pPr>
        <w:spacing w:line="480" w:lineRule="auto"/>
        <w:contextualSpacing/>
        <w:rPr>
          <w:lang w:val="en-US"/>
        </w:rPr>
      </w:pPr>
      <w:r w:rsidRPr="00FA37AB">
        <w:rPr>
          <w:lang w:val="en-US"/>
        </w:rPr>
        <w:lastRenderedPageBreak/>
        <w:t>The patients should ma</w:t>
      </w:r>
      <w:r w:rsidR="00EB7EA1" w:rsidRPr="00FA37AB">
        <w:rPr>
          <w:lang w:val="en-US"/>
        </w:rPr>
        <w:t xml:space="preserve">in focused on the diet which </w:t>
      </w:r>
      <w:r w:rsidRPr="00FA37AB">
        <w:rPr>
          <w:lang w:val="en-US"/>
        </w:rPr>
        <w:t>mainly</w:t>
      </w:r>
      <w:r w:rsidR="00EB7EA1" w:rsidRPr="00FA37AB">
        <w:rPr>
          <w:lang w:val="en-US"/>
        </w:rPr>
        <w:t xml:space="preserve"> consist of </w:t>
      </w:r>
      <w:r w:rsidRPr="00FA37AB">
        <w:rPr>
          <w:lang w:val="en-US"/>
        </w:rPr>
        <w:t xml:space="preserve"> </w:t>
      </w:r>
      <w:r w:rsidR="00EB7EA1" w:rsidRPr="00FA37AB">
        <w:rPr>
          <w:lang w:val="en-US"/>
        </w:rPr>
        <w:t xml:space="preserve"> high potassium ions, low s</w:t>
      </w:r>
      <w:r w:rsidR="009B11F6" w:rsidRPr="00FA37AB">
        <w:rPr>
          <w:lang w:val="en-US"/>
        </w:rPr>
        <w:t xml:space="preserve">odium ions and high </w:t>
      </w:r>
      <w:proofErr w:type="spellStart"/>
      <w:r w:rsidR="009B11F6" w:rsidRPr="00FA37AB">
        <w:rPr>
          <w:lang w:val="en-US"/>
        </w:rPr>
        <w:t>calozy</w:t>
      </w:r>
      <w:proofErr w:type="spellEnd"/>
      <w:r w:rsidR="009B11F6" w:rsidRPr="00FA37AB">
        <w:rPr>
          <w:lang w:val="en-US"/>
        </w:rPr>
        <w:t xml:space="preserve"> </w:t>
      </w:r>
    </w:p>
    <w:p w:rsidR="00C255B6" w:rsidRPr="00FA37AB" w:rsidRDefault="005650A0" w:rsidP="005650A0">
      <w:pPr>
        <w:spacing w:line="480" w:lineRule="auto"/>
        <w:contextualSpacing/>
        <w:jc w:val="center"/>
        <w:rPr>
          <w:lang w:val="en-US"/>
        </w:rPr>
      </w:pPr>
      <w:r w:rsidRPr="00FA37AB">
        <w:rPr>
          <w:lang w:val="en-US"/>
        </w:rPr>
        <w:br w:type="page"/>
      </w:r>
      <w:r w:rsidR="00C255B6" w:rsidRPr="00FA37AB">
        <w:rPr>
          <w:lang w:val="en-US"/>
        </w:rPr>
        <w:lastRenderedPageBreak/>
        <w:t>References</w:t>
      </w:r>
    </w:p>
    <w:p w:rsidR="00372BA0" w:rsidRPr="00FA37AB" w:rsidRDefault="00372BA0" w:rsidP="005650A0">
      <w:pPr>
        <w:spacing w:line="480" w:lineRule="auto"/>
        <w:contextualSpacing/>
        <w:rPr>
          <w:lang w:val="en-US"/>
        </w:rPr>
      </w:pPr>
    </w:p>
    <w:p w:rsidR="00372BA0" w:rsidRPr="00FA37AB" w:rsidRDefault="00A40D41" w:rsidP="005650A0">
      <w:pPr>
        <w:spacing w:line="480" w:lineRule="auto"/>
        <w:contextualSpacing/>
        <w:rPr>
          <w:color w:val="222222"/>
          <w:shd w:val="clear" w:color="auto" w:fill="FFFFFF"/>
        </w:rPr>
      </w:pPr>
      <w:r w:rsidRPr="00FA37AB">
        <w:rPr>
          <w:color w:val="222222"/>
          <w:shd w:val="clear" w:color="auto" w:fill="FFFFFF"/>
        </w:rPr>
        <w:t>Bal-Price, A., Hogberg, H. T., Crofton, K. M., Daneshian, M., FitzGerald, R. E., Fritsche, E., ... &amp; Sachana, M. (2018). Recommendation on test readiness criteria for new approach methods (NAM) in toxicology: exemplified for developmental neurotoxicity (DNT). </w:t>
      </w:r>
      <w:r w:rsidRPr="00FA37AB">
        <w:rPr>
          <w:i/>
          <w:iCs/>
          <w:color w:val="222222"/>
          <w:shd w:val="clear" w:color="auto" w:fill="FFFFFF"/>
        </w:rPr>
        <w:t>Alte</w:t>
      </w:r>
      <w:r w:rsidRPr="00FA37AB">
        <w:rPr>
          <w:color w:val="222222"/>
          <w:shd w:val="clear" w:color="auto" w:fill="FFFFFF"/>
        </w:rPr>
        <w:t xml:space="preserve"> Tard, C., Tiffreau, V., Jaillette, E., Jouen, F., Nelson, I., Bonne, G., ... &amp; Nguyen, S. (2017). Anti-HMGCR antibody–related necrotizing autoimmune myopathy mimicking muscular dystrophy. </w:t>
      </w:r>
      <w:r w:rsidRPr="00FA37AB">
        <w:rPr>
          <w:i/>
          <w:iCs/>
          <w:color w:val="222222"/>
          <w:shd w:val="clear" w:color="auto" w:fill="FFFFFF"/>
        </w:rPr>
        <w:t>Neuropediatrics</w:t>
      </w:r>
      <w:r w:rsidRPr="00FA37AB">
        <w:rPr>
          <w:color w:val="222222"/>
          <w:shd w:val="clear" w:color="auto" w:fill="FFFFFF"/>
        </w:rPr>
        <w:t>, </w:t>
      </w:r>
      <w:r w:rsidRPr="00FA37AB">
        <w:rPr>
          <w:i/>
          <w:iCs/>
          <w:color w:val="222222"/>
          <w:shd w:val="clear" w:color="auto" w:fill="FFFFFF"/>
        </w:rPr>
        <w:t>48</w:t>
      </w:r>
      <w:r w:rsidRPr="00FA37AB">
        <w:rPr>
          <w:color w:val="222222"/>
          <w:shd w:val="clear" w:color="auto" w:fill="FFFFFF"/>
        </w:rPr>
        <w:t>(06), 473-476.</w:t>
      </w:r>
      <w:r w:rsidRPr="00FA37AB">
        <w:rPr>
          <w:i/>
          <w:iCs/>
          <w:color w:val="222222"/>
          <w:shd w:val="clear" w:color="auto" w:fill="FFFFFF"/>
        </w:rPr>
        <w:t>x</w:t>
      </w:r>
      <w:r w:rsidRPr="00FA37AB">
        <w:rPr>
          <w:color w:val="222222"/>
          <w:shd w:val="clear" w:color="auto" w:fill="FFFFFF"/>
        </w:rPr>
        <w:t>, </w:t>
      </w:r>
      <w:r w:rsidRPr="00FA37AB">
        <w:rPr>
          <w:i/>
          <w:iCs/>
          <w:color w:val="222222"/>
          <w:shd w:val="clear" w:color="auto" w:fill="FFFFFF"/>
        </w:rPr>
        <w:t>35</w:t>
      </w:r>
      <w:r w:rsidRPr="00FA37AB">
        <w:rPr>
          <w:color w:val="222222"/>
          <w:shd w:val="clear" w:color="auto" w:fill="FFFFFF"/>
        </w:rPr>
        <w:t>(3), 306.</w:t>
      </w:r>
    </w:p>
    <w:p w:rsidR="00A40D41" w:rsidRPr="00FA37AB" w:rsidRDefault="00A40D41" w:rsidP="005650A0">
      <w:pPr>
        <w:spacing w:line="480" w:lineRule="auto"/>
        <w:contextualSpacing/>
        <w:rPr>
          <w:lang w:val="en-US"/>
        </w:rPr>
      </w:pPr>
      <w:r w:rsidRPr="00FA37AB">
        <w:rPr>
          <w:color w:val="222222"/>
          <w:shd w:val="clear" w:color="auto" w:fill="FFFFFF"/>
        </w:rPr>
        <w:t>Tard, C., Tiffreau, V., Jaillette, E., Jouen, F., Nelson, I., Bonne, G., ... &amp; Nguyen, S. (2017). Anti-HMGCR antibody–related necrotizing autoimmune myopathy mimicking muscular dystrophy. </w:t>
      </w:r>
      <w:r w:rsidRPr="00FA37AB">
        <w:rPr>
          <w:i/>
          <w:iCs/>
          <w:color w:val="222222"/>
          <w:shd w:val="clear" w:color="auto" w:fill="FFFFFF"/>
        </w:rPr>
        <w:t>Neuropediatrics</w:t>
      </w:r>
      <w:r w:rsidRPr="00FA37AB">
        <w:rPr>
          <w:color w:val="222222"/>
          <w:shd w:val="clear" w:color="auto" w:fill="FFFFFF"/>
        </w:rPr>
        <w:t>, </w:t>
      </w:r>
      <w:r w:rsidRPr="00FA37AB">
        <w:rPr>
          <w:i/>
          <w:iCs/>
          <w:color w:val="222222"/>
          <w:shd w:val="clear" w:color="auto" w:fill="FFFFFF"/>
        </w:rPr>
        <w:t>48</w:t>
      </w:r>
      <w:r w:rsidRPr="00FA37AB">
        <w:rPr>
          <w:color w:val="222222"/>
          <w:shd w:val="clear" w:color="auto" w:fill="FFFFFF"/>
        </w:rPr>
        <w:t>(06), 473-476.</w:t>
      </w:r>
    </w:p>
    <w:p w:rsidR="001250C3" w:rsidRPr="00FA37AB" w:rsidRDefault="00A40D41" w:rsidP="001250C3">
      <w:pPr>
        <w:spacing w:line="480" w:lineRule="auto"/>
        <w:ind w:left="720" w:hanging="720"/>
        <w:contextualSpacing/>
        <w:rPr>
          <w:lang w:val="en-US"/>
        </w:rPr>
      </w:pPr>
      <w:r w:rsidRPr="00FA37AB">
        <w:rPr>
          <w:color w:val="222222"/>
          <w:shd w:val="clear" w:color="auto" w:fill="FFFFFF"/>
        </w:rPr>
        <w:t>Versporten, A., Zarb, P., Caniaux, I., Gros, M. F., Drapier, N., Miller, M., ... &amp; Hoxha, I. (2018). Antimicrobial consumption and resistance in adult hospital inpatients in 53 countries: results of an internet-based global point prevalence survey. </w:t>
      </w:r>
      <w:r w:rsidRPr="00FA37AB">
        <w:rPr>
          <w:i/>
          <w:iCs/>
          <w:color w:val="222222"/>
          <w:shd w:val="clear" w:color="auto" w:fill="FFFFFF"/>
        </w:rPr>
        <w:t>The Lancet Global Health</w:t>
      </w:r>
      <w:r w:rsidRPr="00FA37AB">
        <w:rPr>
          <w:color w:val="222222"/>
          <w:shd w:val="clear" w:color="auto" w:fill="FFFFFF"/>
        </w:rPr>
        <w:t>, </w:t>
      </w:r>
      <w:r w:rsidRPr="00FA37AB">
        <w:rPr>
          <w:i/>
          <w:iCs/>
          <w:color w:val="222222"/>
          <w:shd w:val="clear" w:color="auto" w:fill="FFFFFF"/>
        </w:rPr>
        <w:t>6</w:t>
      </w:r>
      <w:r w:rsidRPr="00FA37AB">
        <w:rPr>
          <w:color w:val="222222"/>
          <w:shd w:val="clear" w:color="auto" w:fill="FFFFFF"/>
        </w:rPr>
        <w:t>(6), e619-e629.</w:t>
      </w:r>
    </w:p>
    <w:p w:rsidR="001250C3" w:rsidRPr="00FA37AB" w:rsidRDefault="00A40D41" w:rsidP="00C255B6">
      <w:pPr>
        <w:spacing w:line="480" w:lineRule="auto"/>
        <w:contextualSpacing/>
        <w:rPr>
          <w:lang w:val="en-US"/>
        </w:rPr>
      </w:pPr>
      <w:r w:rsidRPr="00FA37AB">
        <w:rPr>
          <w:color w:val="222222"/>
          <w:shd w:val="clear" w:color="auto" w:fill="FFFFFF"/>
        </w:rPr>
        <w:t>Zhao, C., Kim, S. W., Yang, D. Y., Kim, J. J., Park, N. C., Lee, S. W., ... &amp; Park, J. K. (2011). Efficacy and safety of once-daily dosing of udenafil in the treatment of erectile dysfunction: results of a multicenter, randomized, double-blind, placebo-controlled trial. </w:t>
      </w:r>
      <w:r w:rsidRPr="00FA37AB">
        <w:rPr>
          <w:i/>
          <w:iCs/>
          <w:color w:val="222222"/>
          <w:shd w:val="clear" w:color="auto" w:fill="FFFFFF"/>
        </w:rPr>
        <w:t>European urology</w:t>
      </w:r>
      <w:r w:rsidRPr="00FA37AB">
        <w:rPr>
          <w:color w:val="222222"/>
          <w:shd w:val="clear" w:color="auto" w:fill="FFFFFF"/>
        </w:rPr>
        <w:t>, </w:t>
      </w:r>
      <w:r w:rsidRPr="00FA37AB">
        <w:rPr>
          <w:i/>
          <w:iCs/>
          <w:color w:val="222222"/>
          <w:shd w:val="clear" w:color="auto" w:fill="FFFFFF"/>
        </w:rPr>
        <w:t>60</w:t>
      </w:r>
      <w:r w:rsidRPr="00FA37AB">
        <w:rPr>
          <w:color w:val="222222"/>
          <w:shd w:val="clear" w:color="auto" w:fill="FFFFFF"/>
        </w:rPr>
        <w:t>(2), 380-387.</w:t>
      </w:r>
    </w:p>
    <w:sectPr w:rsidR="001250C3" w:rsidRPr="00FA37AB" w:rsidSect="00474220">
      <w:head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A3F8E" w:rsidRDefault="004A3F8E" w:rsidP="008675B4">
      <w:r>
        <w:separator/>
      </w:r>
    </w:p>
  </w:endnote>
  <w:endnote w:type="continuationSeparator" w:id="0">
    <w:p w:rsidR="004A3F8E" w:rsidRDefault="004A3F8E" w:rsidP="00867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048F" w:rsidRDefault="005E6239">
    <w:pPr>
      <w:pStyle w:val="Footer"/>
      <w:jc w:val="center"/>
    </w:pPr>
    <w:r>
      <w:fldChar w:fldCharType="begin"/>
    </w:r>
    <w:r w:rsidR="0043048F">
      <w:instrText xml:space="preserve"> PAGE   \* MERGEFORMAT </w:instrText>
    </w:r>
    <w:r>
      <w:fldChar w:fldCharType="separate"/>
    </w:r>
    <w:r w:rsidR="00FA37AB">
      <w:rPr>
        <w:noProof/>
      </w:rPr>
      <w:t>0</w:t>
    </w:r>
    <w:r>
      <w:fldChar w:fldCharType="end"/>
    </w:r>
  </w:p>
  <w:p w:rsidR="0043048F" w:rsidRDefault="00430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A3F8E" w:rsidRDefault="004A3F8E" w:rsidP="008675B4">
      <w:r>
        <w:separator/>
      </w:r>
    </w:p>
  </w:footnote>
  <w:footnote w:type="continuationSeparator" w:id="0">
    <w:p w:rsidR="004A3F8E" w:rsidRDefault="004A3F8E" w:rsidP="00867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87747" w:rsidRPr="008A519D" w:rsidRDefault="00CB69C9" w:rsidP="00D87747">
    <w:pPr>
      <w:pStyle w:val="Footer"/>
      <w:jc w:val="center"/>
      <w:rPr>
        <w:lang w:val="en-US"/>
      </w:rPr>
    </w:pPr>
    <w:r>
      <w:rPr>
        <w:lang w:val="en-US"/>
      </w:rPr>
      <w:t>MEDICAL PRESCRIPTION</w:t>
    </w:r>
    <w:r w:rsidR="0043048F">
      <w:rPr>
        <w:lang w:val="en-US"/>
      </w:rPr>
      <w:tab/>
    </w:r>
    <w:r w:rsidR="0043048F">
      <w:rPr>
        <w:lang w:val="en-US"/>
      </w:rPr>
      <w:tab/>
    </w:r>
    <w:r w:rsidR="00D87747">
      <w:fldChar w:fldCharType="begin"/>
    </w:r>
    <w:r w:rsidR="00D87747" w:rsidRPr="008A519D">
      <w:rPr>
        <w:lang w:val="en-US"/>
      </w:rPr>
      <w:instrText xml:space="preserve"> PAGE   \* MERGEFORMAT </w:instrText>
    </w:r>
    <w:r w:rsidR="00D87747">
      <w:fldChar w:fldCharType="separate"/>
    </w:r>
    <w:r w:rsidR="00FA37AB">
      <w:rPr>
        <w:noProof/>
        <w:lang w:val="en-US"/>
      </w:rPr>
      <w:t>1</w:t>
    </w:r>
    <w:r w:rsidR="00D87747">
      <w:fldChar w:fldCharType="end"/>
    </w:r>
  </w:p>
  <w:p w:rsidR="0043048F" w:rsidRPr="008A519D" w:rsidRDefault="0043048F">
    <w:pPr>
      <w:pStyle w:val="Header"/>
      <w:rPr>
        <w:lang w:val="en-US"/>
      </w:rPr>
    </w:pPr>
  </w:p>
  <w:p w:rsidR="0043048F" w:rsidRPr="008A519D" w:rsidRDefault="0043048F" w:rsidP="000D2EB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048F" w:rsidRPr="00B55150" w:rsidRDefault="0043048F" w:rsidP="00A620A3">
    <w:pPr>
      <w:pStyle w:val="Header"/>
      <w:rPr>
        <w:lang w:val="en-US"/>
      </w:rPr>
    </w:pPr>
    <w:r>
      <w:rPr>
        <w:lang w:val="en-US"/>
      </w:rPr>
      <w:t xml:space="preserve">Running head: </w:t>
    </w:r>
    <w:r w:rsidR="00B93D4A">
      <w:rPr>
        <w:lang w:val="en-US"/>
      </w:rPr>
      <w:t>TITLE OF PAPER IN CAPS</w:t>
    </w:r>
    <w:r>
      <w:rPr>
        <w:lang w:val="en-US"/>
      </w:rPr>
      <w:tab/>
    </w:r>
    <w:r>
      <w:rPr>
        <w:lang w:val="en-US"/>
      </w:rPr>
      <w:tab/>
    </w:r>
    <w:r w:rsidR="005E6239">
      <w:fldChar w:fldCharType="begin"/>
    </w:r>
    <w:r w:rsidRPr="00B55150">
      <w:rPr>
        <w:lang w:val="en-US"/>
      </w:rPr>
      <w:instrText xml:space="preserve"> PAGE   \* MERGEFORMAT </w:instrText>
    </w:r>
    <w:r w:rsidR="005E6239">
      <w:fldChar w:fldCharType="separate"/>
    </w:r>
    <w:r w:rsidR="00FA37AB">
      <w:rPr>
        <w:noProof/>
        <w:lang w:val="en-US"/>
      </w:rPr>
      <w:t>0</w:t>
    </w:r>
    <w:r w:rsidR="005E6239">
      <w:rPr>
        <w:noProof/>
      </w:rPr>
      <w:fldChar w:fldCharType="end"/>
    </w:r>
  </w:p>
  <w:p w:rsidR="0043048F" w:rsidRPr="006876DB" w:rsidRDefault="0043048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248B1"/>
    <w:multiLevelType w:val="multilevel"/>
    <w:tmpl w:val="C0B46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2F444C8"/>
    <w:multiLevelType w:val="hybridMultilevel"/>
    <w:tmpl w:val="4E5EF7C4"/>
    <w:lvl w:ilvl="0" w:tplc="1BE44A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8761B"/>
    <w:multiLevelType w:val="hybridMultilevel"/>
    <w:tmpl w:val="2B90925E"/>
    <w:lvl w:ilvl="0" w:tplc="AAE254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60C"/>
    <w:multiLevelType w:val="hybridMultilevel"/>
    <w:tmpl w:val="62720B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2E54"/>
    <w:multiLevelType w:val="hybridMultilevel"/>
    <w:tmpl w:val="2BE07886"/>
    <w:lvl w:ilvl="0" w:tplc="4178F6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35D0F"/>
    <w:multiLevelType w:val="hybridMultilevel"/>
    <w:tmpl w:val="69D0DBC0"/>
    <w:lvl w:ilvl="0" w:tplc="6178B88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8694F69"/>
    <w:multiLevelType w:val="multilevel"/>
    <w:tmpl w:val="8C2E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11197"/>
    <w:multiLevelType w:val="hybridMultilevel"/>
    <w:tmpl w:val="76EA6240"/>
    <w:lvl w:ilvl="0" w:tplc="E822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60F2D"/>
    <w:multiLevelType w:val="multilevel"/>
    <w:tmpl w:val="C0B46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C506F63"/>
    <w:multiLevelType w:val="hybridMultilevel"/>
    <w:tmpl w:val="EDC688C8"/>
    <w:lvl w:ilvl="0" w:tplc="98685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7A"/>
    <w:rsid w:val="00016CFC"/>
    <w:rsid w:val="000220ED"/>
    <w:rsid w:val="00043CAD"/>
    <w:rsid w:val="00045273"/>
    <w:rsid w:val="00070EB5"/>
    <w:rsid w:val="000B5397"/>
    <w:rsid w:val="000B672C"/>
    <w:rsid w:val="000C571C"/>
    <w:rsid w:val="000D0428"/>
    <w:rsid w:val="000D2EB6"/>
    <w:rsid w:val="000D369A"/>
    <w:rsid w:val="000D6E6C"/>
    <w:rsid w:val="000E1B29"/>
    <w:rsid w:val="000E304D"/>
    <w:rsid w:val="000F2548"/>
    <w:rsid w:val="000F7F32"/>
    <w:rsid w:val="00105B87"/>
    <w:rsid w:val="00112971"/>
    <w:rsid w:val="001250C3"/>
    <w:rsid w:val="0013545B"/>
    <w:rsid w:val="00150BF3"/>
    <w:rsid w:val="001551D6"/>
    <w:rsid w:val="001A6065"/>
    <w:rsid w:val="001B0785"/>
    <w:rsid w:val="001B6A30"/>
    <w:rsid w:val="001B6D94"/>
    <w:rsid w:val="001F0E35"/>
    <w:rsid w:val="0020042A"/>
    <w:rsid w:val="00206985"/>
    <w:rsid w:val="002120B8"/>
    <w:rsid w:val="002270B7"/>
    <w:rsid w:val="002A1993"/>
    <w:rsid w:val="002B0AEA"/>
    <w:rsid w:val="002C4490"/>
    <w:rsid w:val="002D6F82"/>
    <w:rsid w:val="002E204C"/>
    <w:rsid w:val="002F4DEE"/>
    <w:rsid w:val="003017F0"/>
    <w:rsid w:val="00326A9A"/>
    <w:rsid w:val="00335182"/>
    <w:rsid w:val="00340AE0"/>
    <w:rsid w:val="0034301B"/>
    <w:rsid w:val="00345C2D"/>
    <w:rsid w:val="00362971"/>
    <w:rsid w:val="00364EE7"/>
    <w:rsid w:val="003707B9"/>
    <w:rsid w:val="00371EA5"/>
    <w:rsid w:val="00372BA0"/>
    <w:rsid w:val="00394645"/>
    <w:rsid w:val="003A482E"/>
    <w:rsid w:val="003B6EF5"/>
    <w:rsid w:val="003B792A"/>
    <w:rsid w:val="003C0406"/>
    <w:rsid w:val="003E406A"/>
    <w:rsid w:val="00411510"/>
    <w:rsid w:val="0041773E"/>
    <w:rsid w:val="00420C61"/>
    <w:rsid w:val="004210F2"/>
    <w:rsid w:val="00421474"/>
    <w:rsid w:val="004242AF"/>
    <w:rsid w:val="0042456F"/>
    <w:rsid w:val="00426EC5"/>
    <w:rsid w:val="0043048F"/>
    <w:rsid w:val="0043348D"/>
    <w:rsid w:val="00451639"/>
    <w:rsid w:val="0045201D"/>
    <w:rsid w:val="00456010"/>
    <w:rsid w:val="0047393D"/>
    <w:rsid w:val="00474220"/>
    <w:rsid w:val="0048197C"/>
    <w:rsid w:val="0048198D"/>
    <w:rsid w:val="004A12F0"/>
    <w:rsid w:val="004A3F8E"/>
    <w:rsid w:val="004B3433"/>
    <w:rsid w:val="004C0E8D"/>
    <w:rsid w:val="004F5B9B"/>
    <w:rsid w:val="005650A0"/>
    <w:rsid w:val="00565445"/>
    <w:rsid w:val="00566F6C"/>
    <w:rsid w:val="00575649"/>
    <w:rsid w:val="005B3318"/>
    <w:rsid w:val="005B5BF7"/>
    <w:rsid w:val="005B7ABB"/>
    <w:rsid w:val="005C7E91"/>
    <w:rsid w:val="005E230C"/>
    <w:rsid w:val="005E5A9A"/>
    <w:rsid w:val="005E6239"/>
    <w:rsid w:val="00605AF1"/>
    <w:rsid w:val="006170C5"/>
    <w:rsid w:val="00634CAD"/>
    <w:rsid w:val="00642E7A"/>
    <w:rsid w:val="006647A9"/>
    <w:rsid w:val="00666F29"/>
    <w:rsid w:val="006876DB"/>
    <w:rsid w:val="00694E40"/>
    <w:rsid w:val="006B7ABA"/>
    <w:rsid w:val="006C40A9"/>
    <w:rsid w:val="00716012"/>
    <w:rsid w:val="00755140"/>
    <w:rsid w:val="00760CC4"/>
    <w:rsid w:val="00787FE5"/>
    <w:rsid w:val="00790E79"/>
    <w:rsid w:val="007A1D12"/>
    <w:rsid w:val="007A477B"/>
    <w:rsid w:val="007A605F"/>
    <w:rsid w:val="007B1218"/>
    <w:rsid w:val="007B3136"/>
    <w:rsid w:val="007C0D11"/>
    <w:rsid w:val="007D0E50"/>
    <w:rsid w:val="007D324D"/>
    <w:rsid w:val="007E7685"/>
    <w:rsid w:val="008100C2"/>
    <w:rsid w:val="00813819"/>
    <w:rsid w:val="00831337"/>
    <w:rsid w:val="00832FB5"/>
    <w:rsid w:val="008331C7"/>
    <w:rsid w:val="00833FA7"/>
    <w:rsid w:val="008356C0"/>
    <w:rsid w:val="008473C5"/>
    <w:rsid w:val="00860EB4"/>
    <w:rsid w:val="008675B4"/>
    <w:rsid w:val="008717DE"/>
    <w:rsid w:val="00876A82"/>
    <w:rsid w:val="008A405F"/>
    <w:rsid w:val="008A519D"/>
    <w:rsid w:val="008B4EE0"/>
    <w:rsid w:val="008D0395"/>
    <w:rsid w:val="008E1FFE"/>
    <w:rsid w:val="008F255E"/>
    <w:rsid w:val="009267B9"/>
    <w:rsid w:val="00937286"/>
    <w:rsid w:val="00950047"/>
    <w:rsid w:val="00952336"/>
    <w:rsid w:val="0095751D"/>
    <w:rsid w:val="009578CB"/>
    <w:rsid w:val="00957FCD"/>
    <w:rsid w:val="00980F1B"/>
    <w:rsid w:val="00992144"/>
    <w:rsid w:val="009A2BE0"/>
    <w:rsid w:val="009A4F30"/>
    <w:rsid w:val="009B11F6"/>
    <w:rsid w:val="009C6575"/>
    <w:rsid w:val="009E187D"/>
    <w:rsid w:val="009F1499"/>
    <w:rsid w:val="00A07238"/>
    <w:rsid w:val="00A13888"/>
    <w:rsid w:val="00A13B6A"/>
    <w:rsid w:val="00A17185"/>
    <w:rsid w:val="00A20B64"/>
    <w:rsid w:val="00A213A7"/>
    <w:rsid w:val="00A30935"/>
    <w:rsid w:val="00A316F5"/>
    <w:rsid w:val="00A40D41"/>
    <w:rsid w:val="00A54ADF"/>
    <w:rsid w:val="00A620A3"/>
    <w:rsid w:val="00A85C47"/>
    <w:rsid w:val="00A86799"/>
    <w:rsid w:val="00A91440"/>
    <w:rsid w:val="00A925EE"/>
    <w:rsid w:val="00A942C4"/>
    <w:rsid w:val="00A96EA0"/>
    <w:rsid w:val="00AC2E71"/>
    <w:rsid w:val="00B05751"/>
    <w:rsid w:val="00B37D96"/>
    <w:rsid w:val="00B42F36"/>
    <w:rsid w:val="00B52EE4"/>
    <w:rsid w:val="00B55150"/>
    <w:rsid w:val="00B64F22"/>
    <w:rsid w:val="00B86817"/>
    <w:rsid w:val="00B86BF5"/>
    <w:rsid w:val="00B93D4A"/>
    <w:rsid w:val="00BA71FA"/>
    <w:rsid w:val="00BB32A0"/>
    <w:rsid w:val="00BB3E23"/>
    <w:rsid w:val="00BB7D62"/>
    <w:rsid w:val="00BD6535"/>
    <w:rsid w:val="00BF647F"/>
    <w:rsid w:val="00C05E2C"/>
    <w:rsid w:val="00C0630A"/>
    <w:rsid w:val="00C255B6"/>
    <w:rsid w:val="00C26C94"/>
    <w:rsid w:val="00C33CCE"/>
    <w:rsid w:val="00C40483"/>
    <w:rsid w:val="00C54D27"/>
    <w:rsid w:val="00C66685"/>
    <w:rsid w:val="00C66875"/>
    <w:rsid w:val="00C70F45"/>
    <w:rsid w:val="00C93F29"/>
    <w:rsid w:val="00CA0CD9"/>
    <w:rsid w:val="00CB69C9"/>
    <w:rsid w:val="00CC75FD"/>
    <w:rsid w:val="00CD5D90"/>
    <w:rsid w:val="00D0091F"/>
    <w:rsid w:val="00D14830"/>
    <w:rsid w:val="00D16D50"/>
    <w:rsid w:val="00D5267B"/>
    <w:rsid w:val="00D54806"/>
    <w:rsid w:val="00D55F2B"/>
    <w:rsid w:val="00D57D37"/>
    <w:rsid w:val="00D629DA"/>
    <w:rsid w:val="00D6391B"/>
    <w:rsid w:val="00D655D6"/>
    <w:rsid w:val="00D744E8"/>
    <w:rsid w:val="00D7556B"/>
    <w:rsid w:val="00D8193F"/>
    <w:rsid w:val="00D87747"/>
    <w:rsid w:val="00D9227D"/>
    <w:rsid w:val="00D955EA"/>
    <w:rsid w:val="00DA1CED"/>
    <w:rsid w:val="00DB62CF"/>
    <w:rsid w:val="00DC4AC5"/>
    <w:rsid w:val="00DF4030"/>
    <w:rsid w:val="00E01026"/>
    <w:rsid w:val="00E06777"/>
    <w:rsid w:val="00E134CA"/>
    <w:rsid w:val="00E15D66"/>
    <w:rsid w:val="00E31EC5"/>
    <w:rsid w:val="00E458BF"/>
    <w:rsid w:val="00E525A8"/>
    <w:rsid w:val="00E60B81"/>
    <w:rsid w:val="00E64734"/>
    <w:rsid w:val="00E83979"/>
    <w:rsid w:val="00E861EB"/>
    <w:rsid w:val="00E96606"/>
    <w:rsid w:val="00EA0159"/>
    <w:rsid w:val="00EA5C87"/>
    <w:rsid w:val="00EA7C32"/>
    <w:rsid w:val="00EB708C"/>
    <w:rsid w:val="00EB7EA1"/>
    <w:rsid w:val="00EC03CF"/>
    <w:rsid w:val="00EC105E"/>
    <w:rsid w:val="00EC43AD"/>
    <w:rsid w:val="00ED3525"/>
    <w:rsid w:val="00ED7B78"/>
    <w:rsid w:val="00EE36DC"/>
    <w:rsid w:val="00F11D35"/>
    <w:rsid w:val="00F1679F"/>
    <w:rsid w:val="00F3224D"/>
    <w:rsid w:val="00F44634"/>
    <w:rsid w:val="00F471CA"/>
    <w:rsid w:val="00F51D81"/>
    <w:rsid w:val="00F62FBC"/>
    <w:rsid w:val="00F71EC0"/>
    <w:rsid w:val="00F75580"/>
    <w:rsid w:val="00F77005"/>
    <w:rsid w:val="00FA1632"/>
    <w:rsid w:val="00FA3355"/>
    <w:rsid w:val="00FA37AB"/>
    <w:rsid w:val="00FA3C63"/>
    <w:rsid w:val="00FA3FF6"/>
    <w:rsid w:val="00FD14F6"/>
    <w:rsid w:val="00FD6FF9"/>
    <w:rsid w:val="00FE6E7D"/>
    <w:rsid w:val="00FE6F82"/>
    <w:rsid w:val="00FF1567"/>
    <w:rsid w:val="00FF2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E7A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642E7A"/>
  </w:style>
  <w:style w:type="paragraph" w:styleId="Footer">
    <w:name w:val="footer"/>
    <w:basedOn w:val="Normal"/>
    <w:link w:val="FooterChar"/>
    <w:uiPriority w:val="99"/>
    <w:unhideWhenUsed/>
    <w:rsid w:val="00642E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42E7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CommentReference">
    <w:name w:val="annotation reference"/>
    <w:uiPriority w:val="99"/>
    <w:semiHidden/>
    <w:unhideWhenUsed/>
    <w:rsid w:val="00FD6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FF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D6F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FF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6FF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FF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6FF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D2EB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0D2EB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D57D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D6F8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D6F82"/>
    <w:rPr>
      <w:rFonts w:ascii="Times New Roman" w:eastAsia="Times New Roman" w:hAnsi="Times New Roman"/>
      <w:lang w:val="ru-RU" w:eastAsia="ru-RU"/>
    </w:rPr>
  </w:style>
  <w:style w:type="character" w:styleId="FootnoteReference">
    <w:name w:val="footnote reference"/>
    <w:uiPriority w:val="99"/>
    <w:semiHidden/>
    <w:unhideWhenUsed/>
    <w:rsid w:val="002D6F82"/>
    <w:rPr>
      <w:vertAlign w:val="superscript"/>
    </w:rPr>
  </w:style>
  <w:style w:type="table" w:styleId="TableGrid">
    <w:name w:val="Table Grid"/>
    <w:basedOn w:val="TableNormal"/>
    <w:uiPriority w:val="59"/>
    <w:rsid w:val="00A31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72B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DF44E-114A-4A29-AF41-0585C345176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2020-11-25T00:46:00Z</dcterms:created>
  <dcterms:modified xsi:type="dcterms:W3CDTF">2020-11-25T00:46:00Z</dcterms:modified>
</cp:coreProperties>
</file>