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0A4297" w14:textId="77777777" w:rsidR="00696B45" w:rsidRDefault="00696B45">
      <w:bookmarkStart w:id="0" w:name="_GoBack"/>
      <w:r>
        <w:t>Example Repeated Measures ANOVA Write-Up</w:t>
      </w:r>
    </w:p>
    <w:bookmarkEnd w:id="0"/>
    <w:p w14:paraId="13A95D05" w14:textId="77777777" w:rsidR="00696B45" w:rsidRDefault="00696B45">
      <w:r>
        <w:t>*Note: These results are fake and the values may not correspond to real analyses.</w:t>
      </w:r>
    </w:p>
    <w:p w14:paraId="63624B33" w14:textId="77777777" w:rsidR="00D14CCF" w:rsidRDefault="00D4471C">
      <w:r>
        <w:t>The results of the omnibus repeated measures ANOVA test show that there was a significant effect o</w:t>
      </w:r>
      <w:r w:rsidR="00E10C14">
        <w:t xml:space="preserve">f </w:t>
      </w:r>
      <w:r>
        <w:t xml:space="preserve">the type of distraction on recognition memory for the reading passage, </w:t>
      </w:r>
      <w:r w:rsidRPr="00D4471C">
        <w:rPr>
          <w:i/>
        </w:rPr>
        <w:t>F</w:t>
      </w:r>
      <w:r>
        <w:t xml:space="preserve">(2, 295) = 8.93, </w:t>
      </w:r>
      <w:r w:rsidRPr="00D4471C">
        <w:rPr>
          <w:i/>
        </w:rPr>
        <w:t>p</w:t>
      </w:r>
      <w:r>
        <w:t xml:space="preserve"> &lt; .001, </w:t>
      </w:r>
      <w:r w:rsidRPr="00D4471C">
        <w:rPr>
          <w:rFonts w:cstheme="minorHAnsi"/>
          <w:i/>
        </w:rPr>
        <w:t>η</w:t>
      </w:r>
      <w:r w:rsidRPr="00D4471C">
        <w:rPr>
          <w:i/>
          <w:vertAlign w:val="superscript"/>
        </w:rPr>
        <w:t>2</w:t>
      </w:r>
      <w:r>
        <w:t xml:space="preserve"> = .85.  Follow-up pairwise comparisons using repeated measures t tests show that recognition memory was significantly greater for the control/no-distraction condition </w:t>
      </w:r>
      <w:r w:rsidR="00E51CEF">
        <w:t>(</w:t>
      </w:r>
      <w:r w:rsidR="00E51CEF" w:rsidRPr="00E51CEF">
        <w:rPr>
          <w:i/>
        </w:rPr>
        <w:t>M</w:t>
      </w:r>
      <w:r w:rsidR="00E51CEF">
        <w:t xml:space="preserve"> = 10.15, </w:t>
      </w:r>
      <w:r w:rsidR="00E51CEF" w:rsidRPr="00E51CEF">
        <w:rPr>
          <w:i/>
        </w:rPr>
        <w:t>SD</w:t>
      </w:r>
      <w:r w:rsidR="00E51CEF">
        <w:t xml:space="preserve"> = 3.21) </w:t>
      </w:r>
      <w:r>
        <w:t>than the music condition</w:t>
      </w:r>
      <w:r w:rsidR="00E51CEF">
        <w:t xml:space="preserve"> (</w:t>
      </w:r>
      <w:r w:rsidR="00E51CEF" w:rsidRPr="00E51CEF">
        <w:rPr>
          <w:i/>
        </w:rPr>
        <w:t>M</w:t>
      </w:r>
      <w:r w:rsidR="00E51CEF">
        <w:t xml:space="preserve"> = 7.23, </w:t>
      </w:r>
      <w:r w:rsidR="00E51CEF" w:rsidRPr="00E51CEF">
        <w:rPr>
          <w:i/>
        </w:rPr>
        <w:t>SD</w:t>
      </w:r>
      <w:r w:rsidR="00E51CEF">
        <w:t xml:space="preserve"> = 4.11)</w:t>
      </w:r>
      <w:r>
        <w:t xml:space="preserve">, </w:t>
      </w:r>
      <w:r w:rsidRPr="00D4471C">
        <w:rPr>
          <w:i/>
        </w:rPr>
        <w:t>t</w:t>
      </w:r>
      <w:r>
        <w:t xml:space="preserve">(299) = 9.55, </w:t>
      </w:r>
      <w:r w:rsidRPr="00696B45">
        <w:rPr>
          <w:i/>
        </w:rPr>
        <w:t>p</w:t>
      </w:r>
      <w:r>
        <w:t xml:space="preserve"> &lt; .000, </w:t>
      </w:r>
      <w:r w:rsidRPr="00696B45">
        <w:rPr>
          <w:i/>
        </w:rPr>
        <w:t>d</w:t>
      </w:r>
      <w:r>
        <w:t xml:space="preserve"> = 1.43, and that recognition memory was significantly greater for the control/no music condition than the television condition</w:t>
      </w:r>
      <w:r w:rsidR="00E51CEF">
        <w:t xml:space="preserve"> (</w:t>
      </w:r>
      <w:r w:rsidR="00E51CEF" w:rsidRPr="00E51CEF">
        <w:rPr>
          <w:i/>
        </w:rPr>
        <w:t>M</w:t>
      </w:r>
      <w:r w:rsidR="00E51CEF">
        <w:t xml:space="preserve"> = 6.59, </w:t>
      </w:r>
      <w:r w:rsidR="00E51CEF" w:rsidRPr="00E51CEF">
        <w:rPr>
          <w:i/>
        </w:rPr>
        <w:t>SD</w:t>
      </w:r>
      <w:r w:rsidR="00E51CEF">
        <w:t xml:space="preserve"> = 2.23)</w:t>
      </w:r>
      <w:r>
        <w:t xml:space="preserve">, </w:t>
      </w:r>
      <w:r w:rsidRPr="00E51CEF">
        <w:rPr>
          <w:i/>
        </w:rPr>
        <w:t>t</w:t>
      </w:r>
      <w:r>
        <w:t xml:space="preserve">(299) = 7.78, </w:t>
      </w:r>
      <w:r w:rsidRPr="00696B45">
        <w:rPr>
          <w:i/>
        </w:rPr>
        <w:t>p</w:t>
      </w:r>
      <w:r>
        <w:t xml:space="preserve"> &lt; .001, </w:t>
      </w:r>
      <w:r w:rsidRPr="00696B45">
        <w:rPr>
          <w:i/>
        </w:rPr>
        <w:t>d</w:t>
      </w:r>
      <w:r>
        <w:t xml:space="preserve"> = 1.01.  There was no significant difference in recognition memory between the music and television conditions, </w:t>
      </w:r>
      <w:r w:rsidRPr="00696B45">
        <w:rPr>
          <w:i/>
        </w:rPr>
        <w:t>t</w:t>
      </w:r>
      <w:r>
        <w:t xml:space="preserve">(299) = 1.22, </w:t>
      </w:r>
      <w:r w:rsidRPr="00696B45">
        <w:rPr>
          <w:i/>
        </w:rPr>
        <w:t>p</w:t>
      </w:r>
      <w:r>
        <w:t xml:space="preserve"> &gt; .05, </w:t>
      </w:r>
      <w:r w:rsidRPr="00696B45">
        <w:rPr>
          <w:i/>
        </w:rPr>
        <w:t>d</w:t>
      </w:r>
      <w:r>
        <w:t xml:space="preserve"> = 0.30.</w:t>
      </w:r>
    </w:p>
    <w:p w14:paraId="4CEBE12E" w14:textId="77777777" w:rsidR="00696B45" w:rsidRDefault="00696B45">
      <w:r>
        <w:t>STEP BY STEP GUIDE:</w:t>
      </w:r>
    </w:p>
    <w:p w14:paraId="102A9301" w14:textId="77777777" w:rsidR="00696B45" w:rsidRDefault="00696B45" w:rsidP="00696B45">
      <w:pPr>
        <w:pStyle w:val="ListParagraph"/>
        <w:numPr>
          <w:ilvl w:val="0"/>
          <w:numId w:val="1"/>
        </w:numPr>
      </w:pPr>
      <w:r>
        <w:t>Report the results of the omnibus ANOVA test.  State the type of test and whether the results are significant.  Describe the analysis by calling it the effect of the IV on the DV.</w:t>
      </w:r>
    </w:p>
    <w:p w14:paraId="4C56596A" w14:textId="77777777" w:rsidR="00696B45" w:rsidRDefault="00696B45" w:rsidP="00696B45">
      <w:pPr>
        <w:pStyle w:val="ListParagraph"/>
        <w:numPr>
          <w:ilvl w:val="0"/>
          <w:numId w:val="1"/>
        </w:numPr>
      </w:pPr>
      <w:r>
        <w:t xml:space="preserve">Reporting the F test results:  Use a comma to separate your test results </w:t>
      </w:r>
      <w:r w:rsidR="00EB77EA">
        <w:t>from the</w:t>
      </w:r>
      <w:r>
        <w:t xml:space="preserve"> rest of the sentence.  Use capital </w:t>
      </w:r>
      <w:r w:rsidRPr="00696B45">
        <w:rPr>
          <w:i/>
        </w:rPr>
        <w:t>F</w:t>
      </w:r>
      <w:r>
        <w:t xml:space="preserve"> (italicized) followed by the </w:t>
      </w:r>
      <w:r w:rsidRPr="00696B45">
        <w:rPr>
          <w:i/>
        </w:rPr>
        <w:t>df</w:t>
      </w:r>
      <w:r>
        <w:t xml:space="preserve"> between and </w:t>
      </w:r>
      <w:r w:rsidRPr="00696B45">
        <w:rPr>
          <w:i/>
        </w:rPr>
        <w:t>df</w:t>
      </w:r>
      <w:r>
        <w:t xml:space="preserve"> error in parentheses.  Do not use a space between the F and the </w:t>
      </w:r>
      <w:r w:rsidR="00EB77EA">
        <w:t>open parenthesis</w:t>
      </w:r>
      <w:r>
        <w:t xml:space="preserve">.  After the closed parenthesis, use an equal sign then report the F statistics.  All mathematical operators such as =, &lt;, and &gt; must have a space before and after them.  Separate the F test result from the significance using a comma.  Next report the significance level.  Use lower case </w:t>
      </w:r>
      <w:r w:rsidRPr="00696B45">
        <w:rPr>
          <w:i/>
        </w:rPr>
        <w:t>p</w:t>
      </w:r>
      <w:r>
        <w:t xml:space="preserve"> (italicized) to represent significance, then report if the significance was greater or less than .05.  If possible, more precise levels can be used to report significant effects (e.g., </w:t>
      </w:r>
      <w:r w:rsidRPr="00696B45">
        <w:rPr>
          <w:i/>
        </w:rPr>
        <w:t>p</w:t>
      </w:r>
      <w:r>
        <w:t xml:space="preserve"> &lt; .01, </w:t>
      </w:r>
      <w:r w:rsidRPr="00696B45">
        <w:rPr>
          <w:i/>
        </w:rPr>
        <w:t>p</w:t>
      </w:r>
      <w:r>
        <w:t xml:space="preserve"> &lt; .005, </w:t>
      </w:r>
      <w:r w:rsidRPr="00696B45">
        <w:rPr>
          <w:i/>
        </w:rPr>
        <w:t>p</w:t>
      </w:r>
      <w:r>
        <w:t xml:space="preserve"> &lt; .001).  Separate the significance level from the measure of effect size using a comma.  Finally, report the effect size using partial eta squared (</w:t>
      </w:r>
      <w:r w:rsidRPr="00D4471C">
        <w:rPr>
          <w:rFonts w:cstheme="minorHAnsi"/>
          <w:i/>
        </w:rPr>
        <w:t>η</w:t>
      </w:r>
      <w:r w:rsidRPr="00D4471C">
        <w:rPr>
          <w:i/>
          <w:vertAlign w:val="superscript"/>
        </w:rPr>
        <w:t>2</w:t>
      </w:r>
      <w:r>
        <w:t>).</w:t>
      </w:r>
    </w:p>
    <w:p w14:paraId="27B11F5C" w14:textId="77777777" w:rsidR="00696B45" w:rsidRDefault="00696B45" w:rsidP="00696B45">
      <w:pPr>
        <w:pStyle w:val="ListParagraph"/>
        <w:numPr>
          <w:ilvl w:val="0"/>
          <w:numId w:val="1"/>
        </w:numPr>
      </w:pPr>
      <w:r>
        <w:t xml:space="preserve">If the ANOVA result was not significant, there is no need for follow-up pairwise tests.  If there was a significant ANOVA result then </w:t>
      </w:r>
      <w:r w:rsidR="00E51CEF">
        <w:t>tests of all possible pairwise comparisons must be reported.  Repeated measures t tests are an acceptable type of follow-up pairwise test for a repeated measures ANOVA.</w:t>
      </w:r>
    </w:p>
    <w:p w14:paraId="510CDCD2" w14:textId="77777777" w:rsidR="00E51CEF" w:rsidRDefault="00E51CEF" w:rsidP="00071710">
      <w:pPr>
        <w:pStyle w:val="ListParagraph"/>
        <w:numPr>
          <w:ilvl w:val="0"/>
          <w:numId w:val="1"/>
        </w:numPr>
      </w:pPr>
      <w:r>
        <w:t xml:space="preserve">Reporting the t test results: Describe the results.  Indicate the type of test being used.  State if there was a significant or non-significant effect.  If there was a significant effect, state the direction of the effect, i.e., which condition has the greater or lesser mean.  The mean and standard deviation must be reported for each condition at least once (this means that you do not have to report them multiple times).  For the t test results, use lower case t to represent a t test, and follow that with the df in parentheses.  Do not use a space between the t and the open parenthesis.  After the closed parenthesis, use an equal sign then report the t statistic.  Use a space before and after the equal sign.  Separate the t test result from significance with a comma.  Use lower case </w:t>
      </w:r>
      <w:r w:rsidRPr="00696B45">
        <w:rPr>
          <w:i/>
        </w:rPr>
        <w:t>p</w:t>
      </w:r>
      <w:r>
        <w:t xml:space="preserve"> (italicized) to represent significance, then report if the significance was greater or less than .05.  If possible, more precise levels can be used to report significant effects (e.g., </w:t>
      </w:r>
      <w:r w:rsidRPr="00696B45">
        <w:rPr>
          <w:i/>
        </w:rPr>
        <w:t>p</w:t>
      </w:r>
      <w:r>
        <w:t xml:space="preserve"> &lt; .01, </w:t>
      </w:r>
      <w:r w:rsidRPr="00696B45">
        <w:rPr>
          <w:i/>
        </w:rPr>
        <w:t>p</w:t>
      </w:r>
      <w:r>
        <w:t xml:space="preserve"> &lt; .005, </w:t>
      </w:r>
      <w:r w:rsidRPr="00696B45">
        <w:rPr>
          <w:i/>
        </w:rPr>
        <w:t>p</w:t>
      </w:r>
      <w:r>
        <w:t xml:space="preserve"> &lt; .001).  Separate the significance level from Cohen’s d (the measure of effect size) using a comma.  Use lower case d (italicized) to represent Cohen’s d.  After the d, use an equal sign (with a space before and after (then report the value.</w:t>
      </w:r>
    </w:p>
    <w:p w14:paraId="75803A4E" w14:textId="77777777" w:rsidR="00EB77EA" w:rsidRDefault="00EB77EA" w:rsidP="00EB77EA"/>
    <w:p w14:paraId="5349B041" w14:textId="77777777" w:rsidR="00EB77EA" w:rsidRDefault="00EB77EA" w:rsidP="00EB77EA">
      <w:pPr>
        <w:jc w:val="center"/>
      </w:pPr>
      <w:r>
        <w:rPr>
          <w:noProof/>
        </w:rPr>
        <w:lastRenderedPageBreak/>
        <w:drawing>
          <wp:inline distT="0" distB="0" distL="0" distR="0" wp14:anchorId="6B3A1FC6" wp14:editId="2FE1D0B6">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4CFB996F" w14:textId="77777777" w:rsidR="00EB77EA" w:rsidRDefault="00EB77EA" w:rsidP="00EB77EA">
      <w:r w:rsidRPr="00EB77EA">
        <w:rPr>
          <w:i/>
        </w:rPr>
        <w:t>Figure 1</w:t>
      </w:r>
      <w:r>
        <w:t>. Mean recognition memory of reading passage for each of the three distraction conditions.</w:t>
      </w:r>
    </w:p>
    <w:sectPr w:rsidR="00EB77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BD4E1F"/>
    <w:multiLevelType w:val="hybridMultilevel"/>
    <w:tmpl w:val="85CA2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9EB"/>
    <w:rsid w:val="00145B02"/>
    <w:rsid w:val="001A7C74"/>
    <w:rsid w:val="00696B45"/>
    <w:rsid w:val="00CA29EB"/>
    <w:rsid w:val="00D4471C"/>
    <w:rsid w:val="00DD3241"/>
    <w:rsid w:val="00E10C14"/>
    <w:rsid w:val="00E51CEF"/>
    <w:rsid w:val="00EB7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A58D4"/>
  <w15:chartTrackingRefBased/>
  <w15:docId w15:val="{66138DA9-A45E-465A-AC8C-CB3968705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B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jcoleman\AppData\Local\Temp\Cohen's%20d%20Calculators-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1"/>
            </a:solidFill>
            <a:ln>
              <a:noFill/>
            </a:ln>
            <a:effectLst/>
          </c:spPr>
          <c:invertIfNegative val="0"/>
          <c:cat>
            <c:strRef>
              <c:f>'[Cohen''s d Calculators-1.xlsx]Sheet1'!$B$3:$D$3</c:f>
              <c:strCache>
                <c:ptCount val="3"/>
                <c:pt idx="0">
                  <c:v>No Distraction</c:v>
                </c:pt>
                <c:pt idx="1">
                  <c:v>Music Distraction</c:v>
                </c:pt>
                <c:pt idx="2">
                  <c:v>Television Distraction</c:v>
                </c:pt>
              </c:strCache>
            </c:strRef>
          </c:cat>
          <c:val>
            <c:numRef>
              <c:f>'[Cohen''s d Calculators-1.xlsx]Sheet1'!$B$4:$D$4</c:f>
              <c:numCache>
                <c:formatCode>General</c:formatCode>
                <c:ptCount val="3"/>
                <c:pt idx="0">
                  <c:v>10.15</c:v>
                </c:pt>
                <c:pt idx="1">
                  <c:v>7.23</c:v>
                </c:pt>
                <c:pt idx="2">
                  <c:v>6.59</c:v>
                </c:pt>
              </c:numCache>
            </c:numRef>
          </c:val>
          <c:extLst>
            <c:ext xmlns:c16="http://schemas.microsoft.com/office/drawing/2014/chart" uri="{C3380CC4-5D6E-409C-BE32-E72D297353CC}">
              <c16:uniqueId val="{00000000-A7D1-443D-A09D-1ED9A6374314}"/>
            </c:ext>
          </c:extLst>
        </c:ser>
        <c:dLbls>
          <c:showLegendKey val="0"/>
          <c:showVal val="0"/>
          <c:showCatName val="0"/>
          <c:showSerName val="0"/>
          <c:showPercent val="0"/>
          <c:showBubbleSize val="0"/>
        </c:dLbls>
        <c:gapWidth val="219"/>
        <c:overlap val="-27"/>
        <c:axId val="502255727"/>
        <c:axId val="502263215"/>
      </c:barChart>
      <c:catAx>
        <c:axId val="502255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2263215"/>
        <c:crosses val="autoZero"/>
        <c:auto val="1"/>
        <c:lblAlgn val="ctr"/>
        <c:lblOffset val="100"/>
        <c:noMultiLvlLbl val="0"/>
      </c:catAx>
      <c:valAx>
        <c:axId val="5022632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225572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T Coleman</dc:creator>
  <cp:keywords/>
  <dc:description/>
  <cp:lastModifiedBy>faiza hamlani</cp:lastModifiedBy>
  <cp:revision>2</cp:revision>
  <dcterms:created xsi:type="dcterms:W3CDTF">2019-08-01T23:50:00Z</dcterms:created>
  <dcterms:modified xsi:type="dcterms:W3CDTF">2019-08-01T23:50:00Z</dcterms:modified>
</cp:coreProperties>
</file>