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1) Conversion Tax strategy is a method of tax planning, whereby an individual adjusts his income generating sources and changes his deductions payment to take advantage of the tax laws of the relevant year.</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But before such conversion is implemented its needs to be noted that the medical and miscellaneous deductions will reduce to the extent of their income increase, depending on the amount that is converted.</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Example would be that medical expenses above 7.5 % of adjusted gross income is allowed as a deduction.</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It your adjusted gross income is 200,000 only medical expenses above 15,000 are deductible. Suppose by conversion you increased your income to 250,000 medical expenses threshold limit above which you spend to claim deduction will be as high as 18,750. and if you reduce your income to 150,000 the medical expenses limit above which you can claim deduction, will decrease to 11,250. This is how the conversion strategies work.</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Another Conversion </w:t>
      </w:r>
      <w:proofErr w:type="spellStart"/>
      <w:r>
        <w:rPr>
          <w:rFonts w:ascii="Helvetica" w:hAnsi="Helvetica" w:cs="Helvetica"/>
          <w:color w:val="333333"/>
          <w:sz w:val="21"/>
          <w:szCs w:val="21"/>
        </w:rPr>
        <w:t>startegy</w:t>
      </w:r>
      <w:proofErr w:type="spellEnd"/>
      <w:r>
        <w:rPr>
          <w:rFonts w:ascii="Helvetica" w:hAnsi="Helvetica" w:cs="Helvetica"/>
          <w:color w:val="333333"/>
          <w:sz w:val="21"/>
          <w:szCs w:val="21"/>
        </w:rPr>
        <w:t xml:space="preserve"> would be which plans you take for retirement.</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Withdrawals from a Traditional IRA retirement plan are taxable at the time of withdrawal whereas withdrawals from a Roth fund is tax free. </w:t>
      </w:r>
      <w:proofErr w:type="gramStart"/>
      <w:r>
        <w:rPr>
          <w:rFonts w:ascii="Helvetica" w:hAnsi="Helvetica" w:cs="Helvetica"/>
          <w:color w:val="333333"/>
          <w:sz w:val="21"/>
          <w:szCs w:val="21"/>
        </w:rPr>
        <w:t>Thus</w:t>
      </w:r>
      <w:proofErr w:type="gramEnd"/>
      <w:r>
        <w:rPr>
          <w:rFonts w:ascii="Helvetica" w:hAnsi="Helvetica" w:cs="Helvetica"/>
          <w:color w:val="333333"/>
          <w:sz w:val="21"/>
          <w:szCs w:val="21"/>
        </w:rPr>
        <w:t xml:space="preserve"> a proper conversion strategy in retirement plan can save taxes at the time of withdrawals.</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There may be times your career is about to change and your income reduces, putting you in a smaller tax bracket. Here if you convert from a Traditional IRA to Roth plan would save taxes.</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If you see the above table, High Dividend stock yields after tax 6800</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and </w:t>
      </w:r>
      <w:proofErr w:type="spellStart"/>
      <w:r>
        <w:rPr>
          <w:rFonts w:ascii="Helvetica" w:hAnsi="Helvetica" w:cs="Helvetica"/>
          <w:color w:val="333333"/>
          <w:sz w:val="21"/>
          <w:szCs w:val="21"/>
        </w:rPr>
        <w:t>Muncipal</w:t>
      </w:r>
      <w:proofErr w:type="spellEnd"/>
      <w:r>
        <w:rPr>
          <w:rFonts w:ascii="Helvetica" w:hAnsi="Helvetica" w:cs="Helvetica"/>
          <w:color w:val="333333"/>
          <w:sz w:val="21"/>
          <w:szCs w:val="21"/>
        </w:rPr>
        <w:t xml:space="preserve"> bond tax free 7000.</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In High Dividend stock the min </w:t>
      </w:r>
      <w:proofErr w:type="gramStart"/>
      <w:r>
        <w:rPr>
          <w:rFonts w:ascii="Helvetica" w:hAnsi="Helvetica" w:cs="Helvetica"/>
          <w:color w:val="333333"/>
          <w:sz w:val="21"/>
          <w:szCs w:val="21"/>
        </w:rPr>
        <w:t>use</w:t>
      </w:r>
      <w:proofErr w:type="gramEnd"/>
      <w:r>
        <w:rPr>
          <w:rFonts w:ascii="Helvetica" w:hAnsi="Helvetica" w:cs="Helvetica"/>
          <w:color w:val="333333"/>
          <w:sz w:val="21"/>
          <w:szCs w:val="21"/>
        </w:rPr>
        <w:t xml:space="preserve"> of conversion </w:t>
      </w:r>
      <w:proofErr w:type="spellStart"/>
      <w:r>
        <w:rPr>
          <w:rFonts w:ascii="Helvetica" w:hAnsi="Helvetica" w:cs="Helvetica"/>
          <w:color w:val="333333"/>
          <w:sz w:val="21"/>
          <w:szCs w:val="21"/>
        </w:rPr>
        <w:t>startegy</w:t>
      </w:r>
      <w:proofErr w:type="spellEnd"/>
      <w:r>
        <w:rPr>
          <w:rFonts w:ascii="Helvetica" w:hAnsi="Helvetica" w:cs="Helvetica"/>
          <w:color w:val="333333"/>
          <w:sz w:val="21"/>
          <w:szCs w:val="21"/>
        </w:rPr>
        <w:t xml:space="preserve"> of investing 200,000 is used subjecting to a 15 percent tax.</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The Municipal Bond has max use of conversion strategy by investing same 200,000 getting highest returns of 7,000 and paying no taxes. since tax free bonds. The above </w:t>
      </w:r>
      <w:proofErr w:type="spellStart"/>
      <w:r>
        <w:rPr>
          <w:rFonts w:ascii="Helvetica" w:hAnsi="Helvetica" w:cs="Helvetica"/>
          <w:color w:val="333333"/>
          <w:sz w:val="21"/>
          <w:szCs w:val="21"/>
        </w:rPr>
        <w:t>startegy</w:t>
      </w:r>
      <w:proofErr w:type="spellEnd"/>
      <w:r>
        <w:rPr>
          <w:rFonts w:ascii="Helvetica" w:hAnsi="Helvetica" w:cs="Helvetica"/>
          <w:color w:val="333333"/>
          <w:sz w:val="21"/>
          <w:szCs w:val="21"/>
        </w:rPr>
        <w:t xml:space="preserve"> is an example of converting investments into low tax or nil tax areas and thus </w:t>
      </w:r>
      <w:proofErr w:type="spellStart"/>
      <w:r>
        <w:rPr>
          <w:rFonts w:ascii="Helvetica" w:hAnsi="Helvetica" w:cs="Helvetica"/>
          <w:color w:val="333333"/>
          <w:sz w:val="21"/>
          <w:szCs w:val="21"/>
        </w:rPr>
        <w:t>maximise</w:t>
      </w:r>
      <w:proofErr w:type="spellEnd"/>
      <w:r>
        <w:rPr>
          <w:rFonts w:ascii="Helvetica" w:hAnsi="Helvetica" w:cs="Helvetica"/>
          <w:color w:val="333333"/>
          <w:sz w:val="21"/>
          <w:szCs w:val="21"/>
        </w:rPr>
        <w:t xml:space="preserve"> tax planning.</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2)</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Implicit taxes are those arising out, as a result of Government policies on Businesses and Income earned.</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For </w:t>
      </w:r>
      <w:proofErr w:type="gramStart"/>
      <w:r>
        <w:rPr>
          <w:rFonts w:ascii="Helvetica" w:hAnsi="Helvetica" w:cs="Helvetica"/>
          <w:color w:val="333333"/>
          <w:sz w:val="21"/>
          <w:szCs w:val="21"/>
        </w:rPr>
        <w:t>example</w:t>
      </w:r>
      <w:proofErr w:type="gramEnd"/>
      <w:r>
        <w:rPr>
          <w:rFonts w:ascii="Helvetica" w:hAnsi="Helvetica" w:cs="Helvetica"/>
          <w:color w:val="333333"/>
          <w:sz w:val="21"/>
          <w:szCs w:val="21"/>
        </w:rPr>
        <w:t xml:space="preserve"> a green tax maybe imposed on certain automobiles. Regulations may be passed by the Government which may result in additional expenditure which is also a kind of implicit tax.</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An implicit tax is a tax rule used, whereby and investor accepts a low percent return and pays lower taxes or nil taxes as shown in the table in question where municipal bonds although getting the lowest </w:t>
      </w:r>
      <w:proofErr w:type="spellStart"/>
      <w:proofErr w:type="gramStart"/>
      <w:r>
        <w:rPr>
          <w:rFonts w:ascii="Helvetica" w:hAnsi="Helvetica" w:cs="Helvetica"/>
          <w:color w:val="333333"/>
          <w:sz w:val="21"/>
          <w:szCs w:val="21"/>
        </w:rPr>
        <w:t>pre tax</w:t>
      </w:r>
      <w:proofErr w:type="spellEnd"/>
      <w:proofErr w:type="gramEnd"/>
      <w:r>
        <w:rPr>
          <w:rFonts w:ascii="Helvetica" w:hAnsi="Helvetica" w:cs="Helvetica"/>
          <w:color w:val="333333"/>
          <w:sz w:val="21"/>
          <w:szCs w:val="21"/>
        </w:rPr>
        <w:t xml:space="preserve"> return of 3.5 percent, actually give a higher post tax return since the bonds are tax free and there is nil tax.</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Implicit taxes may limit the benefits of conversion strategy. Suppose a taxable bond sells for 100. A </w:t>
      </w:r>
      <w:proofErr w:type="gramStart"/>
      <w:r>
        <w:rPr>
          <w:rFonts w:ascii="Helvetica" w:hAnsi="Helvetica" w:cs="Helvetica"/>
          <w:color w:val="333333"/>
          <w:sz w:val="21"/>
          <w:szCs w:val="21"/>
        </w:rPr>
        <w:t>tax free</w:t>
      </w:r>
      <w:proofErr w:type="gramEnd"/>
      <w:r>
        <w:rPr>
          <w:rFonts w:ascii="Helvetica" w:hAnsi="Helvetica" w:cs="Helvetica"/>
          <w:color w:val="333333"/>
          <w:sz w:val="21"/>
          <w:szCs w:val="21"/>
        </w:rPr>
        <w:t xml:space="preserve"> bond may sell for 120. That is how the Bond market works. They work on yields. It is yields that determines the prices of bonds. Hence a </w:t>
      </w:r>
      <w:proofErr w:type="gramStart"/>
      <w:r>
        <w:rPr>
          <w:rFonts w:ascii="Helvetica" w:hAnsi="Helvetica" w:cs="Helvetica"/>
          <w:color w:val="333333"/>
          <w:sz w:val="21"/>
          <w:szCs w:val="21"/>
        </w:rPr>
        <w:t>tax free</w:t>
      </w:r>
      <w:proofErr w:type="gramEnd"/>
      <w:r>
        <w:rPr>
          <w:rFonts w:ascii="Helvetica" w:hAnsi="Helvetica" w:cs="Helvetica"/>
          <w:color w:val="333333"/>
          <w:sz w:val="21"/>
          <w:szCs w:val="21"/>
        </w:rPr>
        <w:t xml:space="preserve"> bond will be priced higher given the same </w:t>
      </w:r>
      <w:r>
        <w:rPr>
          <w:rFonts w:ascii="Helvetica" w:hAnsi="Helvetica" w:cs="Helvetica"/>
          <w:color w:val="333333"/>
          <w:sz w:val="21"/>
          <w:szCs w:val="21"/>
        </w:rPr>
        <w:lastRenderedPageBreak/>
        <w:t xml:space="preserve">tenure, same interest rate on bond. This </w:t>
      </w:r>
      <w:proofErr w:type="spellStart"/>
      <w:r>
        <w:rPr>
          <w:rFonts w:ascii="Helvetica" w:hAnsi="Helvetica" w:cs="Helvetica"/>
          <w:color w:val="333333"/>
          <w:sz w:val="21"/>
          <w:szCs w:val="21"/>
        </w:rPr>
        <w:t>behaviour</w:t>
      </w:r>
      <w:proofErr w:type="spellEnd"/>
      <w:r>
        <w:rPr>
          <w:rFonts w:ascii="Helvetica" w:hAnsi="Helvetica" w:cs="Helvetica"/>
          <w:color w:val="333333"/>
          <w:sz w:val="21"/>
          <w:szCs w:val="21"/>
        </w:rPr>
        <w:t xml:space="preserve"> of the free market limits and sometimes </w:t>
      </w:r>
      <w:proofErr w:type="spellStart"/>
      <w:r>
        <w:rPr>
          <w:rFonts w:ascii="Helvetica" w:hAnsi="Helvetica" w:cs="Helvetica"/>
          <w:color w:val="333333"/>
          <w:sz w:val="21"/>
          <w:szCs w:val="21"/>
        </w:rPr>
        <w:t>neutralises</w:t>
      </w:r>
      <w:proofErr w:type="spellEnd"/>
      <w:r>
        <w:rPr>
          <w:rFonts w:ascii="Helvetica" w:hAnsi="Helvetica" w:cs="Helvetica"/>
          <w:color w:val="333333"/>
          <w:sz w:val="21"/>
          <w:szCs w:val="21"/>
        </w:rPr>
        <w:t xml:space="preserve"> the effects of conversion strategy.</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All Government taxes, subsidy or price regulations have a price effect which redistributes the benefits or costs thereby limiting the benefits of the Conversion </w:t>
      </w:r>
      <w:proofErr w:type="spellStart"/>
      <w:r>
        <w:rPr>
          <w:rFonts w:ascii="Helvetica" w:hAnsi="Helvetica" w:cs="Helvetica"/>
          <w:color w:val="333333"/>
          <w:sz w:val="21"/>
          <w:szCs w:val="21"/>
        </w:rPr>
        <w:t>startegy</w:t>
      </w:r>
      <w:proofErr w:type="spellEnd"/>
      <w:r>
        <w:rPr>
          <w:rFonts w:ascii="Helvetica" w:hAnsi="Helvetica" w:cs="Helvetica"/>
          <w:color w:val="333333"/>
          <w:sz w:val="21"/>
          <w:szCs w:val="21"/>
        </w:rPr>
        <w:t>.</w:t>
      </w:r>
    </w:p>
    <w:p w:rsidR="00C32670" w:rsidRDefault="00C32670" w:rsidP="00C326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There are sometimes no or little advantage of buying tax </w:t>
      </w:r>
      <w:proofErr w:type="spellStart"/>
      <w:r>
        <w:rPr>
          <w:rFonts w:ascii="Helvetica" w:hAnsi="Helvetica" w:cs="Helvetica"/>
          <w:color w:val="333333"/>
          <w:sz w:val="21"/>
          <w:szCs w:val="21"/>
        </w:rPr>
        <w:t>preffered</w:t>
      </w:r>
      <w:proofErr w:type="spellEnd"/>
      <w:r>
        <w:rPr>
          <w:rFonts w:ascii="Helvetica" w:hAnsi="Helvetica" w:cs="Helvetica"/>
          <w:color w:val="333333"/>
          <w:sz w:val="21"/>
          <w:szCs w:val="21"/>
        </w:rPr>
        <w:t xml:space="preserve"> assets, since the market prices rise to </w:t>
      </w:r>
      <w:proofErr w:type="spellStart"/>
      <w:r>
        <w:rPr>
          <w:rFonts w:ascii="Helvetica" w:hAnsi="Helvetica" w:cs="Helvetica"/>
          <w:color w:val="333333"/>
          <w:sz w:val="21"/>
          <w:szCs w:val="21"/>
        </w:rPr>
        <w:t>minimise</w:t>
      </w:r>
      <w:proofErr w:type="spellEnd"/>
      <w:r>
        <w:rPr>
          <w:rFonts w:ascii="Helvetica" w:hAnsi="Helvetica" w:cs="Helvetica"/>
          <w:color w:val="333333"/>
          <w:sz w:val="21"/>
          <w:szCs w:val="21"/>
        </w:rPr>
        <w:t xml:space="preserve"> the gain, to be realized on tax </w:t>
      </w:r>
      <w:proofErr w:type="spellStart"/>
      <w:r>
        <w:rPr>
          <w:rFonts w:ascii="Helvetica" w:hAnsi="Helvetica" w:cs="Helvetica"/>
          <w:color w:val="333333"/>
          <w:sz w:val="21"/>
          <w:szCs w:val="21"/>
        </w:rPr>
        <w:t>preffered</w:t>
      </w:r>
      <w:proofErr w:type="spellEnd"/>
      <w:r>
        <w:rPr>
          <w:rFonts w:ascii="Helvetica" w:hAnsi="Helvetica" w:cs="Helvetica"/>
          <w:color w:val="333333"/>
          <w:sz w:val="21"/>
          <w:szCs w:val="21"/>
        </w:rPr>
        <w:t xml:space="preserve"> assets.</w:t>
      </w:r>
    </w:p>
    <w:p w:rsidR="00062806" w:rsidRDefault="00062806">
      <w:bookmarkStart w:id="0" w:name="_GoBack"/>
      <w:bookmarkEnd w:id="0"/>
    </w:p>
    <w:sectPr w:rsidR="000628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670"/>
    <w:rsid w:val="00062806"/>
    <w:rsid w:val="00C32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40BE2D-7E73-48EA-BC81-246D59BAE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26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25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2020-08-30T09:38:00Z</dcterms:created>
  <dcterms:modified xsi:type="dcterms:W3CDTF">2020-08-30T09:40:00Z</dcterms:modified>
</cp:coreProperties>
</file>