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3297" w:rsidRPr="002264B6" w:rsidRDefault="00E93297" w:rsidP="002264B6">
      <w:pPr>
        <w:spacing w:after="0" w:line="480" w:lineRule="auto"/>
        <w:rPr>
          <w:rFonts w:ascii="Times New Roman" w:hAnsi="Times New Roman" w:cs="Times New Roman"/>
          <w:sz w:val="24"/>
        </w:rPr>
      </w:pPr>
    </w:p>
    <w:p w:rsidR="00E93297" w:rsidRPr="002264B6" w:rsidRDefault="00E93297" w:rsidP="002264B6">
      <w:pPr>
        <w:spacing w:after="0" w:line="480" w:lineRule="auto"/>
        <w:rPr>
          <w:rFonts w:ascii="Times New Roman" w:hAnsi="Times New Roman" w:cs="Times New Roman"/>
          <w:sz w:val="24"/>
        </w:rPr>
      </w:pPr>
    </w:p>
    <w:p w:rsidR="00E93297" w:rsidRPr="002264B6" w:rsidRDefault="00E93297" w:rsidP="002264B6">
      <w:pPr>
        <w:spacing w:after="0" w:line="480" w:lineRule="auto"/>
        <w:rPr>
          <w:rFonts w:ascii="Times New Roman" w:hAnsi="Times New Roman" w:cs="Times New Roman"/>
          <w:sz w:val="24"/>
        </w:rPr>
      </w:pPr>
    </w:p>
    <w:p w:rsidR="00E93297" w:rsidRPr="002264B6" w:rsidRDefault="00E93297" w:rsidP="002264B6">
      <w:pPr>
        <w:spacing w:after="0" w:line="480" w:lineRule="auto"/>
        <w:rPr>
          <w:rFonts w:ascii="Times New Roman" w:hAnsi="Times New Roman" w:cs="Times New Roman"/>
          <w:sz w:val="24"/>
        </w:rPr>
      </w:pPr>
    </w:p>
    <w:p w:rsidR="002264B6" w:rsidRPr="002264B6" w:rsidRDefault="001C57E7" w:rsidP="002264B6">
      <w:pPr>
        <w:spacing w:after="0" w:line="480" w:lineRule="auto"/>
        <w:jc w:val="center"/>
        <w:rPr>
          <w:rFonts w:ascii="Times New Roman" w:hAnsi="Times New Roman" w:cs="Times New Roman"/>
          <w:b/>
          <w:sz w:val="24"/>
        </w:rPr>
      </w:pPr>
      <w:r w:rsidRPr="002264B6">
        <w:rPr>
          <w:rFonts w:ascii="Times New Roman" w:hAnsi="Times New Roman" w:cs="Times New Roman"/>
          <w:b/>
          <w:sz w:val="24"/>
        </w:rPr>
        <w:t xml:space="preserve">The Utility </w:t>
      </w:r>
      <w:r w:rsidR="005049F2" w:rsidRPr="002264B6">
        <w:rPr>
          <w:rFonts w:ascii="Times New Roman" w:hAnsi="Times New Roman" w:cs="Times New Roman"/>
          <w:b/>
          <w:sz w:val="24"/>
        </w:rPr>
        <w:t xml:space="preserve">of </w:t>
      </w:r>
      <w:r w:rsidRPr="002264B6">
        <w:rPr>
          <w:rFonts w:ascii="Times New Roman" w:hAnsi="Times New Roman" w:cs="Times New Roman"/>
          <w:b/>
          <w:sz w:val="24"/>
        </w:rPr>
        <w:t xml:space="preserve">Parole </w:t>
      </w:r>
      <w:r w:rsidR="005049F2" w:rsidRPr="002264B6">
        <w:rPr>
          <w:rFonts w:ascii="Times New Roman" w:hAnsi="Times New Roman" w:cs="Times New Roman"/>
          <w:b/>
          <w:sz w:val="24"/>
        </w:rPr>
        <w:t xml:space="preserve">Within the </w:t>
      </w:r>
      <w:r w:rsidRPr="002264B6">
        <w:rPr>
          <w:rFonts w:ascii="Times New Roman" w:hAnsi="Times New Roman" w:cs="Times New Roman"/>
          <w:b/>
          <w:sz w:val="24"/>
        </w:rPr>
        <w:t>State Corrections System</w:t>
      </w:r>
    </w:p>
    <w:p w:rsidR="002264B6" w:rsidRDefault="002264B6" w:rsidP="002264B6">
      <w:pPr>
        <w:spacing w:after="0" w:line="480" w:lineRule="auto"/>
        <w:jc w:val="center"/>
        <w:rPr>
          <w:rFonts w:ascii="Times New Roman" w:hAnsi="Times New Roman" w:cs="Times New Roman"/>
          <w:b/>
          <w:sz w:val="24"/>
        </w:rPr>
      </w:pPr>
    </w:p>
    <w:p w:rsidR="005049F2" w:rsidRPr="002264B6" w:rsidRDefault="005049F2" w:rsidP="002264B6">
      <w:pPr>
        <w:spacing w:after="0" w:line="480" w:lineRule="auto"/>
        <w:jc w:val="center"/>
        <w:rPr>
          <w:rFonts w:ascii="Times New Roman" w:hAnsi="Times New Roman" w:cs="Times New Roman"/>
          <w:b/>
          <w:sz w:val="24"/>
        </w:rPr>
      </w:pPr>
    </w:p>
    <w:p w:rsidR="002264B6" w:rsidRPr="002264B6" w:rsidRDefault="002264B6" w:rsidP="002264B6">
      <w:pPr>
        <w:spacing w:after="0" w:line="480" w:lineRule="auto"/>
        <w:jc w:val="center"/>
        <w:rPr>
          <w:rFonts w:ascii="Times New Roman" w:hAnsi="Times New Roman" w:cs="Times New Roman"/>
          <w:b/>
          <w:sz w:val="24"/>
        </w:rPr>
      </w:pPr>
    </w:p>
    <w:p w:rsidR="002264B6" w:rsidRPr="002264B6" w:rsidRDefault="001C57E7" w:rsidP="002264B6">
      <w:pPr>
        <w:spacing w:after="0" w:line="480" w:lineRule="auto"/>
        <w:jc w:val="center"/>
        <w:rPr>
          <w:rFonts w:ascii="Times New Roman" w:hAnsi="Times New Roman" w:cs="Times New Roman"/>
          <w:sz w:val="24"/>
        </w:rPr>
      </w:pPr>
      <w:r w:rsidRPr="002264B6">
        <w:rPr>
          <w:rFonts w:ascii="Times New Roman" w:hAnsi="Times New Roman" w:cs="Times New Roman"/>
          <w:sz w:val="24"/>
        </w:rPr>
        <w:t>Student’s Name</w:t>
      </w:r>
    </w:p>
    <w:p w:rsidR="002264B6" w:rsidRPr="002264B6" w:rsidRDefault="001C57E7" w:rsidP="002264B6">
      <w:pPr>
        <w:spacing w:after="0" w:line="480" w:lineRule="auto"/>
        <w:jc w:val="center"/>
        <w:rPr>
          <w:rFonts w:ascii="Times New Roman" w:hAnsi="Times New Roman" w:cs="Times New Roman"/>
          <w:sz w:val="24"/>
        </w:rPr>
      </w:pPr>
      <w:r w:rsidRPr="002264B6">
        <w:rPr>
          <w:rFonts w:ascii="Times New Roman" w:hAnsi="Times New Roman" w:cs="Times New Roman"/>
          <w:sz w:val="24"/>
        </w:rPr>
        <w:t>Department, University</w:t>
      </w:r>
    </w:p>
    <w:p w:rsidR="002264B6" w:rsidRPr="002264B6" w:rsidRDefault="001C57E7" w:rsidP="002264B6">
      <w:pPr>
        <w:spacing w:after="0" w:line="480" w:lineRule="auto"/>
        <w:jc w:val="center"/>
        <w:rPr>
          <w:rFonts w:ascii="Times New Roman" w:hAnsi="Times New Roman" w:cs="Times New Roman"/>
          <w:sz w:val="24"/>
        </w:rPr>
      </w:pPr>
      <w:r w:rsidRPr="002264B6">
        <w:rPr>
          <w:rFonts w:ascii="Times New Roman" w:hAnsi="Times New Roman" w:cs="Times New Roman"/>
          <w:sz w:val="24"/>
        </w:rPr>
        <w:t>Course Code: Course Name</w:t>
      </w:r>
    </w:p>
    <w:p w:rsidR="002264B6" w:rsidRPr="002264B6" w:rsidRDefault="001C57E7" w:rsidP="002264B6">
      <w:pPr>
        <w:spacing w:after="0" w:line="480" w:lineRule="auto"/>
        <w:jc w:val="center"/>
        <w:rPr>
          <w:rFonts w:ascii="Times New Roman" w:hAnsi="Times New Roman" w:cs="Times New Roman"/>
          <w:sz w:val="24"/>
        </w:rPr>
      </w:pPr>
      <w:r w:rsidRPr="002264B6">
        <w:rPr>
          <w:rFonts w:ascii="Times New Roman" w:hAnsi="Times New Roman" w:cs="Times New Roman"/>
          <w:sz w:val="24"/>
        </w:rPr>
        <w:t>Professor’s Name</w:t>
      </w:r>
    </w:p>
    <w:p w:rsidR="00E93297" w:rsidRPr="002264B6" w:rsidRDefault="001C57E7" w:rsidP="002264B6">
      <w:pPr>
        <w:spacing w:after="0" w:line="480" w:lineRule="auto"/>
        <w:jc w:val="center"/>
        <w:rPr>
          <w:rFonts w:ascii="Times New Roman" w:hAnsi="Times New Roman" w:cs="Times New Roman"/>
          <w:b/>
          <w:sz w:val="24"/>
        </w:rPr>
      </w:pPr>
      <w:r w:rsidRPr="002264B6">
        <w:rPr>
          <w:rFonts w:ascii="Times New Roman" w:hAnsi="Times New Roman" w:cs="Times New Roman"/>
          <w:sz w:val="24"/>
        </w:rPr>
        <w:t>Date</w:t>
      </w:r>
      <w:r w:rsidRPr="002264B6">
        <w:rPr>
          <w:rFonts w:ascii="Times New Roman" w:hAnsi="Times New Roman" w:cs="Times New Roman"/>
          <w:sz w:val="24"/>
        </w:rPr>
        <w:br w:type="page"/>
      </w:r>
    </w:p>
    <w:p w:rsidR="002264B6" w:rsidRPr="002264B6" w:rsidRDefault="001C57E7" w:rsidP="002264B6">
      <w:pPr>
        <w:spacing w:after="0" w:line="480" w:lineRule="auto"/>
        <w:jc w:val="center"/>
        <w:rPr>
          <w:rFonts w:ascii="Times New Roman" w:hAnsi="Times New Roman" w:cs="Times New Roman"/>
          <w:sz w:val="24"/>
        </w:rPr>
      </w:pPr>
      <w:r w:rsidRPr="002264B6">
        <w:rPr>
          <w:rFonts w:ascii="Times New Roman" w:hAnsi="Times New Roman" w:cs="Times New Roman"/>
          <w:b/>
          <w:sz w:val="24"/>
        </w:rPr>
        <w:lastRenderedPageBreak/>
        <w:t xml:space="preserve">The Utility of Parole </w:t>
      </w:r>
      <w:r w:rsidR="005049F2" w:rsidRPr="002264B6">
        <w:rPr>
          <w:rFonts w:ascii="Times New Roman" w:hAnsi="Times New Roman" w:cs="Times New Roman"/>
          <w:b/>
          <w:sz w:val="24"/>
        </w:rPr>
        <w:t>Within</w:t>
      </w:r>
      <w:r w:rsidRPr="002264B6">
        <w:rPr>
          <w:rFonts w:ascii="Times New Roman" w:hAnsi="Times New Roman" w:cs="Times New Roman"/>
          <w:b/>
          <w:sz w:val="24"/>
        </w:rPr>
        <w:t xml:space="preserve"> the State Corrections System</w:t>
      </w:r>
    </w:p>
    <w:p w:rsidR="00B02871" w:rsidRPr="00B02871" w:rsidRDefault="00B02871" w:rsidP="00B02871">
      <w:pPr>
        <w:spacing w:after="0" w:line="480" w:lineRule="auto"/>
        <w:ind w:firstLine="720"/>
        <w:rPr>
          <w:rFonts w:ascii="Times New Roman" w:hAnsi="Times New Roman" w:cs="Times New Roman"/>
          <w:sz w:val="24"/>
        </w:rPr>
      </w:pPr>
      <w:bookmarkStart w:id="0" w:name="_GoBack"/>
      <w:r w:rsidRPr="00B02871">
        <w:rPr>
          <w:rFonts w:ascii="Times New Roman" w:hAnsi="Times New Roman" w:cs="Times New Roman"/>
          <w:sz w:val="24"/>
        </w:rPr>
        <w:t xml:space="preserve">Parole is a scheme within several national justice systems globally, instituted to accord early release to prisoners. The term highlights the conditional release of convicted offenders temporarily or permanently into society before they complete their full duration. The parole structure serves as an integrative program so that the sentenced offenders can adjust back into the community from prison life (Clear &amp; </w:t>
      </w:r>
      <w:proofErr w:type="spellStart"/>
      <w:r w:rsidRPr="00B02871">
        <w:rPr>
          <w:rFonts w:ascii="Times New Roman" w:hAnsi="Times New Roman" w:cs="Times New Roman"/>
          <w:sz w:val="24"/>
        </w:rPr>
        <w:t>Reisig</w:t>
      </w:r>
      <w:proofErr w:type="spellEnd"/>
      <w:r w:rsidRPr="00B02871">
        <w:rPr>
          <w:rFonts w:ascii="Times New Roman" w:hAnsi="Times New Roman" w:cs="Times New Roman"/>
          <w:sz w:val="24"/>
        </w:rPr>
        <w:t xml:space="preserve">, 2018). The prisoners benefit from the structured, supportive, and supervised transition and are instructed to maintain a set of </w:t>
      </w:r>
      <w:proofErr w:type="spellStart"/>
      <w:r w:rsidRPr="00B02871">
        <w:rPr>
          <w:rFonts w:ascii="Times New Roman" w:hAnsi="Times New Roman" w:cs="Times New Roman"/>
          <w:sz w:val="24"/>
        </w:rPr>
        <w:t>pr</w:t>
      </w:r>
      <w:proofErr w:type="spellEnd"/>
      <w:r w:rsidRPr="00B02871">
        <w:rPr>
          <w:rFonts w:ascii="Times New Roman" w:hAnsi="Times New Roman" w:cs="Times New Roman"/>
          <w:sz w:val="24"/>
        </w:rPr>
        <w:t>-approved conditions in the community. Each state in the United States has a Parole Board charged with hearing the parole cases, deciding on which prisoners get it, and under what customized stipulations. The principal consideration for each of the boards is community safety since adjustment without conditions and supervision could prove difficult, leading to recidivism (</w:t>
      </w:r>
      <w:proofErr w:type="spellStart"/>
      <w:r w:rsidRPr="00B02871">
        <w:rPr>
          <w:rFonts w:ascii="Times New Roman" w:hAnsi="Times New Roman" w:cs="Times New Roman"/>
          <w:sz w:val="24"/>
        </w:rPr>
        <w:t>Pettus</w:t>
      </w:r>
      <w:proofErr w:type="spellEnd"/>
      <w:r w:rsidRPr="00B02871">
        <w:rPr>
          <w:rFonts w:ascii="Times New Roman" w:hAnsi="Times New Roman" w:cs="Times New Roman"/>
          <w:sz w:val="24"/>
        </w:rPr>
        <w:t>-Davis, 2016). The design of conditional freedom tries to mitigate the prisoner's risk of reoffending, support the prisoners, and protect the community. The utility of parole is paramount within the state correctional system.</w:t>
      </w:r>
    </w:p>
    <w:p w:rsidR="00B02871" w:rsidRPr="00B02871" w:rsidRDefault="00B02871" w:rsidP="00B02871">
      <w:pPr>
        <w:spacing w:after="0" w:line="480" w:lineRule="auto"/>
        <w:ind w:firstLine="720"/>
        <w:rPr>
          <w:rFonts w:ascii="Times New Roman" w:hAnsi="Times New Roman" w:cs="Times New Roman"/>
          <w:sz w:val="24"/>
        </w:rPr>
      </w:pPr>
      <w:r w:rsidRPr="00B02871">
        <w:rPr>
          <w:rFonts w:ascii="Times New Roman" w:hAnsi="Times New Roman" w:cs="Times New Roman"/>
          <w:sz w:val="24"/>
        </w:rPr>
        <w:t xml:space="preserve">The State Parole Board has significant functions to serve. Among them is ascertaining the validity of prisoners whose conduct earns them the right to parole. The parole structure in the state correctional asserts the justice system's capability to offer treatment and training to the offender in preparation for rejoining the community. The significance of the board, therefore, aligns with the objective of the correctional system.  There are multiple points to consider, which ranks the offenders according to points (Carter, 2011). Therefore, there needs to be existing evidence from the prisoner's conduct that proves they can meet and maintain the board's conditions for every parolee. The most critical requirement is rehabilitation with a lees likelihood of harming others. Only a percentage of the entire prison population has the skills and habits </w:t>
      </w:r>
      <w:r w:rsidRPr="00B02871">
        <w:rPr>
          <w:rFonts w:ascii="Times New Roman" w:hAnsi="Times New Roman" w:cs="Times New Roman"/>
          <w:sz w:val="24"/>
        </w:rPr>
        <w:lastRenderedPageBreak/>
        <w:t xml:space="preserve">necessary for consideration, and only part of them are accorded the privilege. The utility of parole is a critical incentive for prisoners for the target population. Parole also proved significant in reducing the prison population during the time of the COVID-19 pandemic to reduce transmission (Justice Policy Institute, 2020). </w:t>
      </w:r>
    </w:p>
    <w:p w:rsidR="00B02871" w:rsidRPr="00B02871" w:rsidRDefault="00B02871" w:rsidP="00B02871">
      <w:pPr>
        <w:spacing w:after="0" w:line="480" w:lineRule="auto"/>
        <w:ind w:firstLine="720"/>
        <w:rPr>
          <w:rFonts w:ascii="Times New Roman" w:hAnsi="Times New Roman" w:cs="Times New Roman"/>
          <w:sz w:val="24"/>
        </w:rPr>
      </w:pPr>
      <w:r w:rsidRPr="00B02871">
        <w:rPr>
          <w:rFonts w:ascii="Times New Roman" w:hAnsi="Times New Roman" w:cs="Times New Roman"/>
          <w:sz w:val="24"/>
        </w:rPr>
        <w:t>The utility of parole also offers an alternative strategy for dealing with senior people in prison. The current criminal justice system has no increased aptitude with incarcerating the elderly, or long sentences that increase the elderly population in corrections. The growth rate for the elderly population in prisons aged above 65 between 2007 and 2010 was 94 times the growth rate of the overall prison population. Paroling the elderly into the community is a positive strategy since they are the safest group to release. Consequentially, such an approach also influences a decline in the current overpopulation problem in prisons. The parole utility structure has significant has the objective of illustrating that it is possible to redeem convicted offenders, and the risk of reoffending for the group is insignificant (Lichtenberg, 2019). The United States has 15 states with provisions for prisoners' geriatric release, and so does the District of Columbia. The Urban Institute also recommends such a clause for prisoners with severe medical conditions, particularly the elderly.</w:t>
      </w:r>
    </w:p>
    <w:p w:rsidR="00B02871" w:rsidRPr="00B02871" w:rsidRDefault="00B02871" w:rsidP="00B02871">
      <w:pPr>
        <w:spacing w:after="0" w:line="480" w:lineRule="auto"/>
        <w:ind w:firstLine="720"/>
        <w:rPr>
          <w:rFonts w:ascii="Times New Roman" w:hAnsi="Times New Roman" w:cs="Times New Roman"/>
          <w:sz w:val="24"/>
        </w:rPr>
      </w:pPr>
      <w:r w:rsidRPr="00B02871">
        <w:rPr>
          <w:rFonts w:ascii="Times New Roman" w:hAnsi="Times New Roman" w:cs="Times New Roman"/>
          <w:sz w:val="24"/>
        </w:rPr>
        <w:t xml:space="preserve">The utility of parole also impacts the availability of labor in the workforce, particularly from the youth. Additionally, parole also improves on the target group's professional and educational achievements. The current economic burden of incarcerating the youth highlights the most expensive confinement for the child is $214,000 annually (Justice Policy Institute, 2020). The States of New York, Vermont, New Hampshire, Alaska, and eight others incur cost implications worth over $500,000 each year to incarcerate a young person (Justice Policy Institute, 2020). The youth's secure confinement impedes their future health outcomes, lifetime </w:t>
      </w:r>
      <w:r w:rsidRPr="00B02871">
        <w:rPr>
          <w:rFonts w:ascii="Times New Roman" w:hAnsi="Times New Roman" w:cs="Times New Roman"/>
          <w:sz w:val="24"/>
        </w:rPr>
        <w:lastRenderedPageBreak/>
        <w:t xml:space="preserve">wages, educational attainment, and recidivism likelihood. The utility of parole can incorporate evidence-based practices to influence a reduction in the rate of recidivism (Carter, 2011). Such techniques also include community-based programs structured to address the needs of each youth. The same has cost implications worth $75 daily (Justice Policy Institute, 2020), which also reduces the burden of cost to the state. Additionally, the community-based practices also provide a holistic approach to rehabilitation by engaging family members and providing a connection to the population to supportive neighborhood resources. </w:t>
      </w:r>
    </w:p>
    <w:p w:rsidR="00383DA2" w:rsidRPr="002264B6" w:rsidRDefault="00B02871" w:rsidP="00B02871">
      <w:pPr>
        <w:spacing w:after="0" w:line="480" w:lineRule="auto"/>
        <w:ind w:firstLine="720"/>
        <w:rPr>
          <w:rFonts w:ascii="Times New Roman" w:hAnsi="Times New Roman" w:cs="Times New Roman"/>
          <w:sz w:val="24"/>
        </w:rPr>
      </w:pPr>
      <w:r w:rsidRPr="00B02871">
        <w:rPr>
          <w:rFonts w:ascii="Times New Roman" w:hAnsi="Times New Roman" w:cs="Times New Roman"/>
          <w:sz w:val="24"/>
        </w:rPr>
        <w:t>There are several merits for the utility of parole within the state corrections system. As an incentive for rehabilitative behavior to convicted offenders, parole also accounts for the variety of factors contributing to the prisoners' offense. Additionally, various prisoners qualify for parole. Still, since it is not an automatic process, the target population's eligibility is subject to a statutory parole board assessment. Parole's utility also accords the state government of the authority to address the geriatric population and the youth, acknowledging that people are not permanently incorrigible. The utility of parole proves significant in returning prisoners to useful citizenship.</w:t>
      </w:r>
      <w:bookmarkEnd w:id="0"/>
      <w:r w:rsidR="001C57E7" w:rsidRPr="002264B6">
        <w:rPr>
          <w:rFonts w:ascii="Times New Roman" w:hAnsi="Times New Roman" w:cs="Times New Roman"/>
          <w:sz w:val="24"/>
        </w:rPr>
        <w:br w:type="page"/>
      </w:r>
    </w:p>
    <w:p w:rsidR="00383DA2" w:rsidRPr="002264B6" w:rsidRDefault="001C57E7" w:rsidP="002264B6">
      <w:pPr>
        <w:spacing w:after="0" w:line="480" w:lineRule="auto"/>
        <w:jc w:val="center"/>
        <w:rPr>
          <w:rFonts w:ascii="Times New Roman" w:hAnsi="Times New Roman" w:cs="Times New Roman"/>
          <w:sz w:val="24"/>
        </w:rPr>
      </w:pPr>
      <w:r w:rsidRPr="002264B6">
        <w:rPr>
          <w:rFonts w:ascii="Times New Roman" w:hAnsi="Times New Roman" w:cs="Times New Roman"/>
          <w:sz w:val="24"/>
        </w:rPr>
        <w:lastRenderedPageBreak/>
        <w:t>References</w:t>
      </w:r>
    </w:p>
    <w:p w:rsidR="004A669E" w:rsidRPr="002264B6" w:rsidRDefault="001C57E7" w:rsidP="002264B6">
      <w:pPr>
        <w:spacing w:after="0" w:line="480" w:lineRule="auto"/>
        <w:ind w:left="720" w:hanging="720"/>
        <w:rPr>
          <w:rFonts w:ascii="Times New Roman" w:hAnsi="Times New Roman" w:cs="Times New Roman"/>
          <w:color w:val="222222"/>
          <w:sz w:val="24"/>
          <w:shd w:val="clear" w:color="auto" w:fill="FFFFFF"/>
        </w:rPr>
      </w:pPr>
      <w:r w:rsidRPr="002264B6">
        <w:rPr>
          <w:rFonts w:ascii="Times New Roman" w:hAnsi="Times New Roman" w:cs="Times New Roman"/>
          <w:color w:val="222222"/>
          <w:sz w:val="24"/>
          <w:shd w:val="clear" w:color="auto" w:fill="FFFFFF"/>
        </w:rPr>
        <w:t>Carter, M. M. (2011). </w:t>
      </w:r>
      <w:r w:rsidRPr="002264B6">
        <w:rPr>
          <w:rFonts w:ascii="Times New Roman" w:hAnsi="Times New Roman" w:cs="Times New Roman"/>
          <w:i/>
          <w:iCs/>
          <w:color w:val="222222"/>
          <w:sz w:val="24"/>
          <w:shd w:val="clear" w:color="auto" w:fill="FFFFFF"/>
        </w:rPr>
        <w:t>Evidence-based Policy, Practic</w:t>
      </w:r>
      <w:r w:rsidRPr="002264B6">
        <w:rPr>
          <w:rFonts w:ascii="Times New Roman" w:hAnsi="Times New Roman" w:cs="Times New Roman"/>
          <w:i/>
          <w:iCs/>
          <w:color w:val="222222"/>
          <w:sz w:val="24"/>
          <w:shd w:val="clear" w:color="auto" w:fill="FFFFFF"/>
        </w:rPr>
        <w:t>e, and Decisionmaking: Implications for Paroling Authorities</w:t>
      </w:r>
      <w:r w:rsidRPr="002264B6">
        <w:rPr>
          <w:rFonts w:ascii="Times New Roman" w:hAnsi="Times New Roman" w:cs="Times New Roman"/>
          <w:color w:val="222222"/>
          <w:sz w:val="24"/>
          <w:shd w:val="clear" w:color="auto" w:fill="FFFFFF"/>
        </w:rPr>
        <w:t>. US Department of Justice, National Institute of Corrections.</w:t>
      </w:r>
    </w:p>
    <w:p w:rsidR="00383DA2" w:rsidRPr="002264B6" w:rsidRDefault="001C57E7" w:rsidP="002264B6">
      <w:pPr>
        <w:spacing w:after="0" w:line="480" w:lineRule="auto"/>
        <w:ind w:left="720" w:hanging="720"/>
        <w:rPr>
          <w:rFonts w:ascii="Times New Roman" w:hAnsi="Times New Roman" w:cs="Times New Roman"/>
          <w:color w:val="222222"/>
          <w:sz w:val="24"/>
          <w:shd w:val="clear" w:color="auto" w:fill="FFFFFF"/>
        </w:rPr>
      </w:pPr>
      <w:r w:rsidRPr="002264B6">
        <w:rPr>
          <w:rFonts w:ascii="Times New Roman" w:hAnsi="Times New Roman" w:cs="Times New Roman"/>
          <w:color w:val="222222"/>
          <w:sz w:val="24"/>
          <w:shd w:val="clear" w:color="auto" w:fill="FFFFFF"/>
        </w:rPr>
        <w:t>Clear, T. R., Reisig, M. D., &amp; Cole, G. F. (2018). </w:t>
      </w:r>
      <w:r w:rsidRPr="002264B6">
        <w:rPr>
          <w:rFonts w:ascii="Times New Roman" w:hAnsi="Times New Roman" w:cs="Times New Roman"/>
          <w:i/>
          <w:iCs/>
          <w:color w:val="222222"/>
          <w:sz w:val="24"/>
          <w:shd w:val="clear" w:color="auto" w:fill="FFFFFF"/>
        </w:rPr>
        <w:t>American corrections</w:t>
      </w:r>
      <w:r w:rsidRPr="002264B6">
        <w:rPr>
          <w:rFonts w:ascii="Times New Roman" w:hAnsi="Times New Roman" w:cs="Times New Roman"/>
          <w:color w:val="222222"/>
          <w:sz w:val="24"/>
          <w:shd w:val="clear" w:color="auto" w:fill="FFFFFF"/>
        </w:rPr>
        <w:t>. Cengage learning.</w:t>
      </w:r>
    </w:p>
    <w:p w:rsidR="004A669E" w:rsidRPr="002264B6" w:rsidRDefault="001C57E7" w:rsidP="002264B6">
      <w:pPr>
        <w:spacing w:after="0" w:line="480" w:lineRule="auto"/>
        <w:ind w:left="720" w:hanging="720"/>
        <w:rPr>
          <w:rFonts w:ascii="Times New Roman" w:hAnsi="Times New Roman" w:cs="Times New Roman"/>
          <w:color w:val="222222"/>
          <w:sz w:val="24"/>
          <w:shd w:val="clear" w:color="auto" w:fill="FFFFFF"/>
        </w:rPr>
      </w:pPr>
      <w:r w:rsidRPr="002264B6">
        <w:rPr>
          <w:rFonts w:ascii="Times New Roman" w:hAnsi="Times New Roman" w:cs="Times New Roman"/>
          <w:color w:val="222222"/>
          <w:sz w:val="24"/>
          <w:shd w:val="clear" w:color="auto" w:fill="FFFFFF"/>
        </w:rPr>
        <w:t xml:space="preserve">Justice Policy Institute, (2020, July). </w:t>
      </w:r>
      <w:r w:rsidRPr="002264B6">
        <w:rPr>
          <w:rFonts w:ascii="Times New Roman" w:hAnsi="Times New Roman" w:cs="Times New Roman"/>
          <w:i/>
          <w:sz w:val="24"/>
        </w:rPr>
        <w:t>Sticker Shock 2020: The Cost of Youth Incarceration.</w:t>
      </w:r>
      <w:r w:rsidRPr="002264B6">
        <w:rPr>
          <w:rFonts w:ascii="Times New Roman" w:hAnsi="Times New Roman" w:cs="Times New Roman"/>
          <w:color w:val="222222"/>
          <w:sz w:val="24"/>
          <w:shd w:val="clear" w:color="auto" w:fill="FFFFFF"/>
        </w:rPr>
        <w:t xml:space="preserve"> Retrieved from: Justice Policy Institute (2020, September 17). http://www.justicepolicy.org/uploads/justicepolicy/documents/Sticker_Shock_2020.pdf </w:t>
      </w:r>
    </w:p>
    <w:p w:rsidR="00F0267A" w:rsidRPr="002264B6" w:rsidRDefault="001C57E7" w:rsidP="002264B6">
      <w:pPr>
        <w:spacing w:after="0" w:line="480" w:lineRule="auto"/>
        <w:ind w:left="720" w:hanging="720"/>
        <w:rPr>
          <w:rFonts w:ascii="Times New Roman" w:hAnsi="Times New Roman" w:cs="Times New Roman"/>
          <w:color w:val="222222"/>
          <w:sz w:val="24"/>
          <w:shd w:val="clear" w:color="auto" w:fill="FFFFFF"/>
        </w:rPr>
      </w:pPr>
      <w:r w:rsidRPr="002264B6">
        <w:rPr>
          <w:rFonts w:ascii="Times New Roman" w:hAnsi="Times New Roman" w:cs="Times New Roman"/>
          <w:color w:val="222222"/>
          <w:sz w:val="24"/>
          <w:shd w:val="clear" w:color="auto" w:fill="FFFFFF"/>
        </w:rPr>
        <w:t>Lichtenberg, J. (2019). Against Life Without Parole. </w:t>
      </w:r>
      <w:r w:rsidRPr="002264B6">
        <w:rPr>
          <w:rFonts w:ascii="Times New Roman" w:hAnsi="Times New Roman" w:cs="Times New Roman"/>
          <w:i/>
          <w:iCs/>
          <w:color w:val="222222"/>
          <w:sz w:val="24"/>
          <w:shd w:val="clear" w:color="auto" w:fill="FFFFFF"/>
        </w:rPr>
        <w:t>Washington University Jurisprudence Review</w:t>
      </w:r>
      <w:r w:rsidRPr="002264B6">
        <w:rPr>
          <w:rFonts w:ascii="Times New Roman" w:hAnsi="Times New Roman" w:cs="Times New Roman"/>
          <w:color w:val="222222"/>
          <w:sz w:val="24"/>
          <w:shd w:val="clear" w:color="auto" w:fill="FFFFFF"/>
        </w:rPr>
        <w:t>, </w:t>
      </w:r>
      <w:r w:rsidRPr="002264B6">
        <w:rPr>
          <w:rFonts w:ascii="Times New Roman" w:hAnsi="Times New Roman" w:cs="Times New Roman"/>
          <w:i/>
          <w:iCs/>
          <w:color w:val="222222"/>
          <w:sz w:val="24"/>
          <w:shd w:val="clear" w:color="auto" w:fill="FFFFFF"/>
        </w:rPr>
        <w:t>11</w:t>
      </w:r>
      <w:r w:rsidRPr="002264B6">
        <w:rPr>
          <w:rFonts w:ascii="Times New Roman" w:hAnsi="Times New Roman" w:cs="Times New Roman"/>
          <w:color w:val="222222"/>
          <w:sz w:val="24"/>
          <w:shd w:val="clear" w:color="auto" w:fill="FFFFFF"/>
        </w:rPr>
        <w:t xml:space="preserve">(1), 39-65. </w:t>
      </w:r>
    </w:p>
    <w:p w:rsidR="004A669E" w:rsidRPr="002264B6" w:rsidRDefault="001C57E7" w:rsidP="002264B6">
      <w:pPr>
        <w:spacing w:after="0" w:line="480" w:lineRule="auto"/>
        <w:ind w:left="720" w:hanging="720"/>
        <w:rPr>
          <w:rFonts w:ascii="Times New Roman" w:hAnsi="Times New Roman" w:cs="Times New Roman"/>
          <w:sz w:val="24"/>
        </w:rPr>
      </w:pPr>
      <w:r w:rsidRPr="002264B6">
        <w:rPr>
          <w:rFonts w:ascii="Times New Roman" w:hAnsi="Times New Roman" w:cs="Times New Roman"/>
          <w:color w:val="222222"/>
          <w:sz w:val="24"/>
          <w:shd w:val="clear" w:color="auto" w:fill="FFFFFF"/>
        </w:rPr>
        <w:t>Pettus-Davis, C., Brown, D., Veeh, C., &amp; Renn, T. (2016). The economic burden of incarceration in the US. </w:t>
      </w:r>
      <w:r w:rsidRPr="002264B6">
        <w:rPr>
          <w:rFonts w:ascii="Times New Roman" w:hAnsi="Times New Roman" w:cs="Times New Roman"/>
          <w:i/>
          <w:iCs/>
          <w:color w:val="222222"/>
          <w:sz w:val="24"/>
          <w:shd w:val="clear" w:color="auto" w:fill="FFFFFF"/>
        </w:rPr>
        <w:t>Institute for Advancing Justice Research and Innovation. Washington University in St. Louis</w:t>
      </w:r>
      <w:r w:rsidRPr="002264B6">
        <w:rPr>
          <w:rFonts w:ascii="Times New Roman" w:hAnsi="Times New Roman" w:cs="Times New Roman"/>
          <w:color w:val="222222"/>
          <w:sz w:val="24"/>
          <w:shd w:val="clear" w:color="auto" w:fill="FFFFFF"/>
        </w:rPr>
        <w:t>.</w:t>
      </w:r>
    </w:p>
    <w:sectPr w:rsidR="004A669E" w:rsidRPr="002264B6" w:rsidSect="004579D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57E7" w:rsidRDefault="001C57E7">
      <w:pPr>
        <w:spacing w:after="0" w:line="240" w:lineRule="auto"/>
      </w:pPr>
      <w:r>
        <w:separator/>
      </w:r>
    </w:p>
  </w:endnote>
  <w:endnote w:type="continuationSeparator" w:id="0">
    <w:p w:rsidR="001C57E7" w:rsidRDefault="001C57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57E7" w:rsidRDefault="001C57E7">
      <w:pPr>
        <w:spacing w:after="0" w:line="240" w:lineRule="auto"/>
      </w:pPr>
      <w:r>
        <w:separator/>
      </w:r>
    </w:p>
  </w:footnote>
  <w:footnote w:type="continuationSeparator" w:id="0">
    <w:p w:rsidR="001C57E7" w:rsidRDefault="001C57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398316688"/>
      <w:docPartObj>
        <w:docPartGallery w:val="Page Numbers (Top of Page)"/>
        <w:docPartUnique/>
      </w:docPartObj>
    </w:sdtPr>
    <w:sdtEndPr/>
    <w:sdtContent>
      <w:p w:rsidR="00E93297" w:rsidRPr="00E93297" w:rsidRDefault="001C57E7">
        <w:pPr>
          <w:pStyle w:val="Header"/>
          <w:jc w:val="right"/>
          <w:rPr>
            <w:rFonts w:ascii="Times New Roman" w:hAnsi="Times New Roman" w:cs="Times New Roman"/>
            <w:sz w:val="24"/>
          </w:rPr>
        </w:pPr>
        <w:r w:rsidRPr="00E93297">
          <w:rPr>
            <w:rFonts w:ascii="Times New Roman" w:hAnsi="Times New Roman" w:cs="Times New Roman"/>
            <w:sz w:val="24"/>
          </w:rPr>
          <w:fldChar w:fldCharType="begin"/>
        </w:r>
        <w:r w:rsidRPr="00E93297">
          <w:rPr>
            <w:rFonts w:ascii="Times New Roman" w:hAnsi="Times New Roman" w:cs="Times New Roman"/>
            <w:sz w:val="24"/>
          </w:rPr>
          <w:instrText xml:space="preserve"> PAGE   \* MERGEFORMAT </w:instrText>
        </w:r>
        <w:r w:rsidRPr="00E93297">
          <w:rPr>
            <w:rFonts w:ascii="Times New Roman" w:hAnsi="Times New Roman" w:cs="Times New Roman"/>
            <w:sz w:val="24"/>
          </w:rPr>
          <w:fldChar w:fldCharType="separate"/>
        </w:r>
        <w:r w:rsidR="00B02871">
          <w:rPr>
            <w:rFonts w:ascii="Times New Roman" w:hAnsi="Times New Roman" w:cs="Times New Roman"/>
            <w:noProof/>
            <w:sz w:val="24"/>
          </w:rPr>
          <w:t>1</w:t>
        </w:r>
        <w:r w:rsidRPr="00E93297">
          <w:rPr>
            <w:rFonts w:ascii="Times New Roman" w:hAnsi="Times New Roman" w:cs="Times New Roman"/>
            <w:sz w:val="24"/>
          </w:rPr>
          <w:fldChar w:fldCharType="end"/>
        </w:r>
      </w:p>
    </w:sdtContent>
  </w:sdt>
  <w:p w:rsidR="00E93297" w:rsidRPr="00E93297" w:rsidRDefault="00E93297">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BA8"/>
    <w:rsid w:val="001C57E7"/>
    <w:rsid w:val="00222BA8"/>
    <w:rsid w:val="002264B6"/>
    <w:rsid w:val="002B23FA"/>
    <w:rsid w:val="00325CE2"/>
    <w:rsid w:val="00383DA2"/>
    <w:rsid w:val="004579D7"/>
    <w:rsid w:val="004A669E"/>
    <w:rsid w:val="004C5FE9"/>
    <w:rsid w:val="005049F2"/>
    <w:rsid w:val="005A0602"/>
    <w:rsid w:val="00695F88"/>
    <w:rsid w:val="0076215D"/>
    <w:rsid w:val="007C3022"/>
    <w:rsid w:val="00881B9D"/>
    <w:rsid w:val="00B02871"/>
    <w:rsid w:val="00B578D7"/>
    <w:rsid w:val="00C70BB8"/>
    <w:rsid w:val="00D13350"/>
    <w:rsid w:val="00E93297"/>
    <w:rsid w:val="00F0267A"/>
    <w:rsid w:val="00FC2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820FD"/>
  <w15:docId w15:val="{B341406C-4A55-4F64-B33E-993E9CF85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79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669E"/>
    <w:rPr>
      <w:color w:val="0000FF" w:themeColor="hyperlink"/>
      <w:u w:val="single"/>
    </w:rPr>
  </w:style>
  <w:style w:type="paragraph" w:styleId="Header">
    <w:name w:val="header"/>
    <w:basedOn w:val="Normal"/>
    <w:link w:val="HeaderChar"/>
    <w:uiPriority w:val="99"/>
    <w:unhideWhenUsed/>
    <w:rsid w:val="00E932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297"/>
  </w:style>
  <w:style w:type="paragraph" w:styleId="Footer">
    <w:name w:val="footer"/>
    <w:basedOn w:val="Normal"/>
    <w:link w:val="FooterChar"/>
    <w:uiPriority w:val="99"/>
    <w:semiHidden/>
    <w:unhideWhenUsed/>
    <w:rsid w:val="00E9329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932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960</Words>
  <Characters>5476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3</cp:revision>
  <dcterms:created xsi:type="dcterms:W3CDTF">2020-09-18T19:36:00Z</dcterms:created>
  <dcterms:modified xsi:type="dcterms:W3CDTF">2020-09-18T19:40:00Z</dcterms:modified>
</cp:coreProperties>
</file>