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r w:rsidRPr="003C6460">
        <w:rPr>
          <w:rFonts w:ascii="Times New Roman" w:hAnsi="Times New Roman" w:cs="Times New Roman"/>
          <w:color w:val="000000" w:themeColor="text1"/>
          <w:sz w:val="24"/>
          <w:szCs w:val="24"/>
        </w:rPr>
        <w:t>Control of gun violence in Canada</w:t>
      </w:r>
    </w:p>
    <w:p w:rsidR="00486C9A" w:rsidRPr="00B00222" w:rsidRDefault="00486C9A" w:rsidP="00486C9A">
      <w:pPr>
        <w:spacing w:line="480" w:lineRule="auto"/>
        <w:jc w:val="center"/>
        <w:rPr>
          <w:rFonts w:ascii="Times New Roman" w:hAnsi="Times New Roman" w:cs="Times New Roman"/>
          <w:color w:val="000000" w:themeColor="text1"/>
          <w:sz w:val="24"/>
          <w:szCs w:val="24"/>
        </w:rPr>
      </w:pPr>
      <w:r w:rsidRPr="00B00222">
        <w:rPr>
          <w:rFonts w:ascii="Times New Roman" w:hAnsi="Times New Roman" w:cs="Times New Roman"/>
          <w:color w:val="000000" w:themeColor="text1"/>
          <w:sz w:val="24"/>
          <w:szCs w:val="24"/>
        </w:rPr>
        <w:t>Name</w:t>
      </w:r>
    </w:p>
    <w:p w:rsidR="00486C9A" w:rsidRPr="00B00222" w:rsidRDefault="00486C9A" w:rsidP="00486C9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486C9A" w:rsidRPr="00B00222" w:rsidRDefault="00486C9A" w:rsidP="00486C9A">
      <w:pPr>
        <w:spacing w:line="480" w:lineRule="auto"/>
        <w:jc w:val="center"/>
        <w:rPr>
          <w:rFonts w:ascii="Times New Roman" w:hAnsi="Times New Roman" w:cs="Times New Roman"/>
          <w:color w:val="000000" w:themeColor="text1"/>
          <w:sz w:val="24"/>
          <w:szCs w:val="24"/>
        </w:rPr>
      </w:pPr>
      <w:r w:rsidRPr="00B00222">
        <w:rPr>
          <w:rFonts w:ascii="Times New Roman" w:hAnsi="Times New Roman" w:cs="Times New Roman"/>
          <w:color w:val="000000" w:themeColor="text1"/>
          <w:sz w:val="24"/>
          <w:szCs w:val="24"/>
        </w:rPr>
        <w:t>Course</w:t>
      </w:r>
    </w:p>
    <w:p w:rsidR="00486C9A" w:rsidRDefault="00486C9A" w:rsidP="00486C9A">
      <w:pPr>
        <w:spacing w:line="480" w:lineRule="auto"/>
        <w:jc w:val="center"/>
        <w:rPr>
          <w:rFonts w:ascii="Times New Roman" w:hAnsi="Times New Roman" w:cs="Times New Roman"/>
          <w:color w:val="000000" w:themeColor="text1"/>
          <w:sz w:val="24"/>
          <w:szCs w:val="24"/>
        </w:rPr>
      </w:pPr>
      <w:r w:rsidRPr="00B00222">
        <w:rPr>
          <w:rFonts w:ascii="Times New Roman" w:hAnsi="Times New Roman" w:cs="Times New Roman"/>
          <w:color w:val="000000" w:themeColor="text1"/>
          <w:sz w:val="24"/>
          <w:szCs w:val="24"/>
        </w:rPr>
        <w:t>Date</w:t>
      </w: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Pr="00862569" w:rsidRDefault="00486C9A" w:rsidP="00486C9A">
      <w:pPr>
        <w:spacing w:line="480" w:lineRule="auto"/>
        <w:jc w:val="center"/>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lastRenderedPageBreak/>
        <w:t xml:space="preserve">Control of Gun Violence </w:t>
      </w:r>
      <w:bookmarkStart w:id="0" w:name="_GoBack"/>
      <w:bookmarkEnd w:id="0"/>
      <w:r w:rsidRPr="00862569">
        <w:rPr>
          <w:rFonts w:ascii="Times New Roman" w:hAnsi="Times New Roman" w:cs="Times New Roman"/>
          <w:color w:val="000000" w:themeColor="text1"/>
          <w:sz w:val="24"/>
          <w:szCs w:val="24"/>
        </w:rPr>
        <w:t>in Canada</w:t>
      </w:r>
    </w:p>
    <w:p w:rsidR="00486C9A" w:rsidRPr="00862569" w:rsidRDefault="00486C9A" w:rsidP="00486C9A">
      <w:pPr>
        <w:spacing w:line="480" w:lineRule="auto"/>
        <w:rPr>
          <w:rFonts w:ascii="Times New Roman" w:hAnsi="Times New Roman" w:cs="Times New Roman"/>
          <w:color w:val="000000" w:themeColor="text1"/>
          <w:sz w:val="24"/>
          <w:szCs w:val="24"/>
        </w:rPr>
      </w:pPr>
      <w:r w:rsidRPr="00862569">
        <w:rPr>
          <w:rFonts w:ascii="Times New Roman" w:eastAsia="Times New Roman" w:hAnsi="Times New Roman" w:cs="Times New Roman"/>
          <w:b/>
          <w:color w:val="000000" w:themeColor="text1"/>
          <w:sz w:val="24"/>
          <w:szCs w:val="24"/>
        </w:rPr>
        <w:t>Part 1:</w:t>
      </w:r>
    </w:p>
    <w:p w:rsidR="00486C9A" w:rsidRPr="00862569" w:rsidRDefault="00486C9A" w:rsidP="00486C9A">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Banks, G., Hadenfeldt, K., Janoch, M., Manning, C., Ramos, K., &amp; Wolf, D. A. P. S. (2017).Gun violence and substance abuse.Aggression and violent behavior, 34, 113-116.</w:t>
      </w:r>
    </w:p>
    <w:p w:rsidR="00486C9A" w:rsidRPr="00862569" w:rsidRDefault="00486C9A" w:rsidP="00486C9A">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 xml:space="preserve">The authors argued that, as reported on various occasions, we may hardly seize our means out of the crisis involving firearm brutality. They asserted that interference, as well as </w:t>
      </w:r>
      <w:r>
        <w:rPr>
          <w:rFonts w:ascii="Times New Roman" w:eastAsia="Times New Roman" w:hAnsi="Times New Roman" w:cs="Times New Roman"/>
          <w:color w:val="000000" w:themeColor="text1"/>
          <w:sz w:val="24"/>
          <w:szCs w:val="24"/>
        </w:rPr>
        <w:t>impartial deterrence approaches</w:t>
      </w:r>
      <w:r w:rsidRPr="00862569">
        <w:rPr>
          <w:rFonts w:ascii="Times New Roman" w:eastAsia="Times New Roman" w:hAnsi="Times New Roman" w:cs="Times New Roman"/>
          <w:color w:val="000000" w:themeColor="text1"/>
          <w:sz w:val="24"/>
          <w:szCs w:val="24"/>
        </w:rPr>
        <w:t>, are required to tackle the fundamental aspects linked to firearm brutality, whether its drug-selling points or criminal groups. The youth longitudinal study was carried out in Canada and the United States. It demonstrates that the most dangerous aspects connected to firearms brutality accentuate reasons as to why young people take part in the illegal selling of drugs or become criminals. Attempts in promoting significant employment, improving education levels and reducing poverty levels will enable young individuals to decrease the utilization of drugs, gang involvement, and firearm violence.</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The significant dedication stakeholders should be the initial step implementing an approach that is coordinated. This can be achieved adequately through community or political leaders that are eager to defend the cause. The leaders should have political as well as social capital required to get permission to see leaders of various intervention, public service, and criminal justice organizations. What I know is that less will be achieved if merely several crucial organizations wish to put together their efforts. The total participation of the majority of organizations, as well as support,  will lead to a thriving intervention. Initiatives implemented amongst coordinating organizations that specialize in suppressing, preventing and intervening are hardly an insignificant mission. Agencies engaged in intervening as well as preventing criminal actions are usually suspicious of the law enforcing </w:t>
      </w:r>
      <w:r w:rsidRPr="00862569">
        <w:rPr>
          <w:rFonts w:ascii="Times New Roman" w:eastAsia="Times New Roman" w:hAnsi="Times New Roman" w:cs="Times New Roman"/>
          <w:color w:val="000000" w:themeColor="text1"/>
          <w:sz w:val="24"/>
          <w:szCs w:val="24"/>
        </w:rPr>
        <w:lastRenderedPageBreak/>
        <w:t xml:space="preserve">attempts. The findings and recommendations of this research can be used in my current study topic. </w:t>
      </w:r>
    </w:p>
    <w:p w:rsidR="00486C9A" w:rsidRPr="00862569" w:rsidRDefault="00486C9A" w:rsidP="00486C9A">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Behrman, P., Redding, C. A., Raja, S., Newton, T., Beharie, N., &amp;Printz, D. (2018). Society of Behavioral Medicine (SBM) position statement: restore CDC funding for firearms and gun violence prevention research. Translational behavioral medicine, 8(6), 958-961.</w:t>
      </w:r>
    </w:p>
    <w:p w:rsidR="00486C9A" w:rsidRPr="00862569" w:rsidRDefault="00486C9A" w:rsidP="00486C9A">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Using qualitative methodology and an in-depth literature review, Behrman et al. (2018) provided a clear outline and conceptual framework for my study topic. The researchers provided a comprehensive conceptual framework that will enable me to create my theoretical framework and hypothesize the subject of study. Report from researchers showed that a significant number of the guns utilized in offenses in Canada were not lawfully acquired by those who use them for crimes. There is, however, now no system that records where the firearms being used illegally come from.</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Reports from findings in the study have shown that guns are getting from the hands of those who are supposed to possess them to those who possess them illegally. Transfers of firearms between private nationals in Canada must be put to documentation with the Canada Department of Justice. The authors argue that for illegal buyers to be discouraged,</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there should encourage collaboration among various agencies in Canada. A general agreement emerged concerning the partnership in reviewing the evaluations and studies of efforts to the gang and gun violence in Canada. The failures to sustain collaborations are usually to blame when previously effective interventions fail to maintain their effectiveness. The reductions in gun violence were genuine in Los Angeles. However, it was short-lived. The concentration of the individuals in charge of resources changed to other areas as soon as the violence reduced, and the violence soon started to go up in the primary target areas. The scholars recorded the challenges faced in attempting to execute inventions which involved in-type collaborations among various </w:t>
      </w:r>
      <w:r w:rsidRPr="00862569">
        <w:rPr>
          <w:rFonts w:ascii="Times New Roman" w:eastAsia="Times New Roman" w:hAnsi="Times New Roman" w:cs="Times New Roman"/>
          <w:color w:val="000000" w:themeColor="text1"/>
          <w:sz w:val="24"/>
          <w:szCs w:val="24"/>
        </w:rPr>
        <w:lastRenderedPageBreak/>
        <w:t>community-based institutions, criminal justice bodies, and providers of social services. They concluded that a single-way to persuade and sustain partnerships was to make collaborations a fundamental condition in gaining local financing. Furthermore, the local governments and leaders should contribute similar resources and ensure that the interventions and policies being executed are particularly personalized to the causes and nature of gun violence in Canada.</w:t>
      </w:r>
    </w:p>
    <w:p w:rsidR="00486C9A" w:rsidRPr="00862569" w:rsidRDefault="00486C9A" w:rsidP="00486C9A">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Lee, L. K., Fleegler, E. W., Farrell, C., Avakame, E., Srinivasan, S., Hemenway, D., &amp;Monuteaux, M. C. (2017). Firearm laws and firearm homicides: a systematic review. JAMA internal medicine, 177(1), 106-119.</w:t>
      </w:r>
    </w:p>
    <w:p w:rsidR="00486C9A" w:rsidRPr="00862569" w:rsidRDefault="00486C9A" w:rsidP="00486C9A">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 xml:space="preserve">Using a systematic review, the authors argued that law enforcers might not succeed in appreciating the importance of other various strategies. Distinctive philosophies that focus on the best ways of tackling specific predicaments can result in anxiety among members. Resources and finances are the only significant barriers to overcome. Organizations in Los Angeles were required to entrust funds and work jointly without gaining more funding. Lack of funds for the social associates became an impediment to efforts in building cooperative and cohesive structures. Preferring to take up initiatives that are coordinated, finances must be adequate to sustain the associates’ efforts. Through this, cooperation, as well as understanding, will mostly promote trust. Interventional efforts which have had an impact on communities are very vital just as collaboration and trust-building amongst organizations. Religious, civic and business leaders may provide resources to assist the mission by building legitimacy, serving as guides, granting street word intellect to the young people involved in weapon violence and criminal gangs. It is significant to engage young people who are also are members of groups. It may not harm to find out what it may take for them to put a stop to the fights. According to experience, the responses are usually similar in various localities that are accessing jobs that pay very well. Research </w:t>
      </w:r>
      <w:r w:rsidRPr="00862569">
        <w:rPr>
          <w:rFonts w:ascii="Times New Roman" w:eastAsia="Times New Roman" w:hAnsi="Times New Roman" w:cs="Times New Roman"/>
          <w:color w:val="000000" w:themeColor="text1"/>
          <w:sz w:val="24"/>
          <w:szCs w:val="24"/>
        </w:rPr>
        <w:lastRenderedPageBreak/>
        <w:t xml:space="preserve">associates have played fundamental roles in facilitating among multiple partners based in the community as well as associates in official agencies.  An all-inclusive model to tackle firearm brutality by suppressing, preventing, and intervening has to be given an opportunity for constant evaluation. This research provides models and theories that I can use in carrying out my current research. </w:t>
      </w:r>
    </w:p>
    <w:p w:rsidR="00486C9A" w:rsidRPr="00862569" w:rsidRDefault="00486C9A" w:rsidP="00486C9A">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Metzl, J. M., &amp; MacLeish, K. T. (2015).Mental illness, mass shootings, and the politics of American firearms.American journal of public health, 105(2), 240-249.</w:t>
      </w:r>
    </w:p>
    <w:p w:rsidR="00486C9A" w:rsidRPr="00862569" w:rsidRDefault="00486C9A" w:rsidP="00486C9A">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Using both qualitative and quantitative methodology accompanied by</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an in-depth literature review,</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Metzl</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&amp; MacLeish (2015) offered a foundation of comprehending the reasons behind the increase of mass shootings. The authors further outlined alternative methods of preventing growing gun violence rather than just enacting stricter laws that have proven effective. The authors provided with the foundation to establish my objective and purpose of the study. The literature review carried out in the survey will be vital in contributing to my current topic of study. The authors argued that for efficient gang/gun conflict reduction mechanisms to be designed, a lot has to be learned concerning the details of the issue of the gang. Even though the kinds of data that are supposed to be gathered are not impressive as such concerning resources or time required to finish the study in question, this research is significant for the current topic of study.</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Moreover the commendations given by the authors concerning gang enterprises and the forms of violence related to a gun have proved to be active in cases of gun violence of a group, or that is retaliating in kind. Based on the analysis listed under the result and finding, the subsequent recommendations are provided as vital guidance in dealing with violence involving guns (mainly where gangs are involved) in Canada.</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This is going to help me in understanding not just to the criminal, but also the activities they undertake and the kinds of environments that </w:t>
      </w:r>
      <w:r w:rsidRPr="00862569">
        <w:rPr>
          <w:rFonts w:ascii="Times New Roman" w:eastAsia="Times New Roman" w:hAnsi="Times New Roman" w:cs="Times New Roman"/>
          <w:color w:val="000000" w:themeColor="text1"/>
          <w:sz w:val="24"/>
          <w:szCs w:val="24"/>
        </w:rPr>
        <w:lastRenderedPageBreak/>
        <w:t>enhance their existence or accept to live with them. The main issue that can implement gang mechanisms in Canada is the effectiveness of the information stored and collected by native law enforcement. Together with looking into the nature of the problem, the data is also essential in identifying intervention and suppression rules.</w:t>
      </w:r>
    </w:p>
    <w:p w:rsidR="00486C9A" w:rsidRPr="00862569" w:rsidRDefault="00486C9A" w:rsidP="00486C9A">
      <w:pPr>
        <w:spacing w:after="0" w:line="480" w:lineRule="auto"/>
        <w:rPr>
          <w:rFonts w:ascii="Times New Roman" w:eastAsia="Times New Roman" w:hAnsi="Times New Roman" w:cs="Times New Roman"/>
          <w:b/>
          <w:color w:val="000000" w:themeColor="text1"/>
          <w:sz w:val="24"/>
          <w:szCs w:val="24"/>
        </w:rPr>
      </w:pPr>
      <w:r w:rsidRPr="00862569">
        <w:rPr>
          <w:rFonts w:ascii="Times New Roman" w:eastAsia="Times New Roman" w:hAnsi="Times New Roman" w:cs="Times New Roman"/>
          <w:b/>
          <w:color w:val="000000" w:themeColor="text1"/>
          <w:sz w:val="24"/>
          <w:szCs w:val="24"/>
        </w:rPr>
        <w:t>Newman, J., &amp; Head, B. (2017). The national context of wicked problems: Comparing policies on gun violence in the US, Canada, and Australia. Journal of comparative policy analysis: research and practice, 19(1), 40-53.</w:t>
      </w:r>
    </w:p>
    <w:p w:rsidR="00486C9A" w:rsidRPr="00862569" w:rsidRDefault="00486C9A" w:rsidP="00486C9A">
      <w:pPr>
        <w:spacing w:after="0" w:line="480" w:lineRule="auto"/>
        <w:rPr>
          <w:rFonts w:ascii="Times New Roman" w:eastAsia="Times New Roman" w:hAnsi="Times New Roman" w:cs="Times New Roman"/>
          <w:color w:val="000000" w:themeColor="text1"/>
          <w:sz w:val="24"/>
          <w:szCs w:val="24"/>
        </w:rPr>
      </w:pPr>
      <w:r w:rsidRPr="00862569">
        <w:rPr>
          <w:rFonts w:ascii="Times New Roman" w:eastAsia="Times New Roman" w:hAnsi="Times New Roman" w:cs="Times New Roman"/>
          <w:color w:val="000000" w:themeColor="text1"/>
          <w:sz w:val="24"/>
          <w:szCs w:val="24"/>
        </w:rPr>
        <w:t>Using journal comparative policy analysis, Newman &amp; Head (2017) provided different policies that can be used to prevent gun violence. The authors argue that through association partners who are experienced in research, law enforcers in the locality may achieve necessary facilitation in the analysis and collection of data required to comprehend the social aspects that influence the violent use of guns.</w:t>
      </w:r>
      <w:r w:rsidRPr="00862569">
        <w:rPr>
          <w:rFonts w:ascii="Times New Roman" w:hAnsi="Times New Roman" w:cs="Times New Roman"/>
          <w:color w:val="000000" w:themeColor="text1"/>
          <w:sz w:val="24"/>
          <w:szCs w:val="24"/>
        </w:rPr>
        <w:t xml:space="preserve"> The study asserts that </w:t>
      </w:r>
      <w:r w:rsidRPr="00862569">
        <w:rPr>
          <w:rFonts w:ascii="Times New Roman" w:eastAsia="Times New Roman" w:hAnsi="Times New Roman" w:cs="Times New Roman"/>
          <w:color w:val="000000" w:themeColor="text1"/>
          <w:sz w:val="24"/>
          <w:szCs w:val="24"/>
        </w:rPr>
        <w:t>Faith-based organizations and community-based partners are essential in supporting local communities to understand that the interventions are about targeting gun violence (specific behaviors) and not particular people. In Los Angeles, residents of impacted areas have experienced many heavy-handed trials to eliminate firearms.</w:t>
      </w:r>
      <w:r>
        <w:rPr>
          <w:rFonts w:ascii="Times New Roman" w:eastAsia="Times New Roman" w:hAnsi="Times New Roman" w:cs="Times New Roman"/>
          <w:color w:val="000000" w:themeColor="text1"/>
          <w:sz w:val="24"/>
          <w:szCs w:val="24"/>
        </w:rPr>
        <w:t xml:space="preserve"> </w:t>
      </w:r>
      <w:r w:rsidRPr="00862569">
        <w:rPr>
          <w:rFonts w:ascii="Times New Roman" w:eastAsia="Times New Roman" w:hAnsi="Times New Roman" w:cs="Times New Roman"/>
          <w:color w:val="000000" w:themeColor="text1"/>
          <w:sz w:val="24"/>
          <w:szCs w:val="24"/>
        </w:rPr>
        <w:t xml:space="preserve">The programs which have been most effective in minimizing firearm violence have performed so by prudently integrating both good but increased suppressions with the intervention resources allocations in greatly affected regions where the groups are institutionalized within the communities. It was vital to differentiate efforts of an individual in instituting projects that involve both suppressions and interventions from solely and heavy-handed efforts of destructions which are regularly used against the gangs. These were achieved in two approaches. The public was first made aware that the interventions never targeted the groups but rather targeted specific behaviors, namely firearms. Secondly, the responses involved a “stick and carrot” approach. The </w:t>
      </w:r>
      <w:r w:rsidRPr="00862569">
        <w:rPr>
          <w:rFonts w:ascii="Times New Roman" w:eastAsia="Times New Roman" w:hAnsi="Times New Roman" w:cs="Times New Roman"/>
          <w:color w:val="000000" w:themeColor="text1"/>
          <w:sz w:val="24"/>
          <w:szCs w:val="24"/>
        </w:rPr>
        <w:lastRenderedPageBreak/>
        <w:t xml:space="preserve">jobs of the criminal justice systems and police were to minimize violence by raising the costs involved in undertaking it. The positions of the gang intervention specialists and local community bodies were to reduce violence by increasing the gifts of not involved in violent activities such as access to drug treatments, access to job training and jobs, and removal of the </w:t>
      </w:r>
      <w:r>
        <w:rPr>
          <w:rFonts w:ascii="Times New Roman" w:eastAsia="Times New Roman" w:hAnsi="Times New Roman" w:cs="Times New Roman"/>
          <w:color w:val="000000" w:themeColor="text1"/>
          <w:sz w:val="24"/>
          <w:szCs w:val="24"/>
        </w:rPr>
        <w:t xml:space="preserve">tattoo. </w:t>
      </w:r>
      <w:r w:rsidRPr="00862569">
        <w:rPr>
          <w:rFonts w:ascii="Times New Roman" w:eastAsia="Times New Roman" w:hAnsi="Times New Roman" w:cs="Times New Roman"/>
          <w:color w:val="000000" w:themeColor="text1"/>
          <w:sz w:val="24"/>
          <w:szCs w:val="24"/>
        </w:rPr>
        <w:t xml:space="preserve">The research provides a policy guideline for the current topic of study. </w:t>
      </w:r>
    </w:p>
    <w:p w:rsidR="009903B7" w:rsidRDefault="009903B7"/>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Default="00486C9A" w:rsidP="00486C9A">
      <w:pPr>
        <w:spacing w:line="480" w:lineRule="auto"/>
        <w:jc w:val="center"/>
        <w:rPr>
          <w:rFonts w:ascii="Times New Roman" w:hAnsi="Times New Roman" w:cs="Times New Roman"/>
          <w:color w:val="000000" w:themeColor="text1"/>
          <w:sz w:val="24"/>
          <w:szCs w:val="24"/>
        </w:rPr>
      </w:pPr>
    </w:p>
    <w:p w:rsidR="00486C9A" w:rsidRPr="00573A24" w:rsidRDefault="00486C9A" w:rsidP="00486C9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Bibliography</w:t>
      </w:r>
    </w:p>
    <w:p w:rsidR="00486C9A" w:rsidRPr="00862569" w:rsidRDefault="00486C9A" w:rsidP="00486C9A">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Banks, G., Hadenfeldt, K., Janoch, M., Manning, C., Ramos, K., &amp; Wolf, D. A. P. S. (2017).Gun violence and substance abuse.Aggression and violent behavior, 34, 113-116.</w:t>
      </w:r>
    </w:p>
    <w:p w:rsidR="00486C9A" w:rsidRPr="00862569" w:rsidRDefault="00486C9A" w:rsidP="00486C9A">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Behrman, P., Redding, C. A., Raja, S., Newton, T., Beharie, N., &amp;Printz, D. (2018). Society of Behavioral Medicine (SBM) position statement: restore CDC funding for firearms and gun violence prevention research. Translational behavioral medicine, 8(6), 958-961.</w:t>
      </w:r>
    </w:p>
    <w:p w:rsidR="00486C9A" w:rsidRPr="00862569" w:rsidRDefault="00486C9A" w:rsidP="00486C9A">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Lee, L. K., Fleegler, E. W., Farrell, C., Avakame, E., Srinivasan, S., Hemenway, D., &amp;Monuteaux, M. C. (2017). Firearm laws and firearm homicides: a systematic review. JAMA internal medicine, 177(1), 106-119.</w:t>
      </w:r>
    </w:p>
    <w:p w:rsidR="00486C9A" w:rsidRPr="00862569" w:rsidRDefault="00486C9A" w:rsidP="00486C9A">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Metzl, J. M., &amp; MacLeish, K. T. (2015).Mental illness, mass shootings, and the politics of American firearms.American journal of public health, 105(2), 240-249.</w:t>
      </w:r>
    </w:p>
    <w:p w:rsidR="00486C9A" w:rsidRPr="00862569" w:rsidRDefault="00486C9A" w:rsidP="00486C9A">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Newman, J., &amp; Head, B. (2017). The national context of wicked problems: Comparing policies on gun violence in the US, Canada, and Australia. Journal of comparative policy analysis: research and practice, 19(1), 40-53.</w:t>
      </w:r>
    </w:p>
    <w:p w:rsidR="00486C9A" w:rsidRDefault="00486C9A"/>
    <w:sectPr w:rsidR="00486C9A" w:rsidSect="00486C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043" w:rsidRDefault="00DD5043" w:rsidP="00486C9A">
      <w:pPr>
        <w:spacing w:after="0" w:line="240" w:lineRule="auto"/>
      </w:pPr>
      <w:r>
        <w:separator/>
      </w:r>
    </w:p>
  </w:endnote>
  <w:endnote w:type="continuationSeparator" w:id="1">
    <w:p w:rsidR="00DD5043" w:rsidRDefault="00DD5043" w:rsidP="00486C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043" w:rsidRDefault="00DD5043" w:rsidP="00486C9A">
      <w:pPr>
        <w:spacing w:after="0" w:line="240" w:lineRule="auto"/>
      </w:pPr>
      <w:r>
        <w:separator/>
      </w:r>
    </w:p>
  </w:footnote>
  <w:footnote w:type="continuationSeparator" w:id="1">
    <w:p w:rsidR="00DD5043" w:rsidRDefault="00DD5043" w:rsidP="00486C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348108"/>
      <w:docPartObj>
        <w:docPartGallery w:val="Page Numbers (Top of Page)"/>
        <w:docPartUnique/>
      </w:docPartObj>
    </w:sdtPr>
    <w:sdtContent>
      <w:p w:rsidR="00486C9A" w:rsidRPr="00486C9A" w:rsidRDefault="00486C9A">
        <w:pPr>
          <w:pStyle w:val="Header"/>
          <w:rPr>
            <w:rFonts w:ascii="Times New Roman" w:hAnsi="Times New Roman" w:cs="Times New Roman"/>
            <w:sz w:val="24"/>
            <w:szCs w:val="24"/>
          </w:rPr>
        </w:pPr>
        <w:r w:rsidRPr="00486C9A">
          <w:rPr>
            <w:rFonts w:ascii="Times New Roman" w:hAnsi="Times New Roman" w:cs="Times New Roman"/>
            <w:sz w:val="24"/>
            <w:szCs w:val="24"/>
          </w:rPr>
          <w:t>ANNOTATED BIBLIOGRAPHY</w:t>
        </w:r>
        <w:r w:rsidRPr="00486C9A">
          <w:rPr>
            <w:rFonts w:ascii="Times New Roman" w:hAnsi="Times New Roman" w:cs="Times New Roman"/>
            <w:sz w:val="24"/>
            <w:szCs w:val="24"/>
          </w:rPr>
          <w:tab/>
        </w:r>
        <w:r w:rsidRPr="00486C9A">
          <w:rPr>
            <w:rFonts w:ascii="Times New Roman" w:hAnsi="Times New Roman" w:cs="Times New Roman"/>
            <w:sz w:val="24"/>
            <w:szCs w:val="24"/>
          </w:rPr>
          <w:tab/>
        </w:r>
        <w:r w:rsidRPr="00486C9A">
          <w:rPr>
            <w:rFonts w:ascii="Times New Roman" w:hAnsi="Times New Roman" w:cs="Times New Roman"/>
            <w:sz w:val="24"/>
            <w:szCs w:val="24"/>
          </w:rPr>
          <w:fldChar w:fldCharType="begin"/>
        </w:r>
        <w:r w:rsidRPr="00486C9A">
          <w:rPr>
            <w:rFonts w:ascii="Times New Roman" w:hAnsi="Times New Roman" w:cs="Times New Roman"/>
            <w:sz w:val="24"/>
            <w:szCs w:val="24"/>
          </w:rPr>
          <w:instrText xml:space="preserve"> PAGE   \* MERGEFORMAT </w:instrText>
        </w:r>
        <w:r w:rsidRPr="00486C9A">
          <w:rPr>
            <w:rFonts w:ascii="Times New Roman" w:hAnsi="Times New Roman" w:cs="Times New Roman"/>
            <w:sz w:val="24"/>
            <w:szCs w:val="24"/>
          </w:rPr>
          <w:fldChar w:fldCharType="separate"/>
        </w:r>
        <w:r>
          <w:rPr>
            <w:rFonts w:ascii="Times New Roman" w:hAnsi="Times New Roman" w:cs="Times New Roman"/>
            <w:noProof/>
            <w:sz w:val="24"/>
            <w:szCs w:val="24"/>
          </w:rPr>
          <w:t>7</w:t>
        </w:r>
        <w:r w:rsidRPr="00486C9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9A" w:rsidRPr="00486C9A" w:rsidRDefault="00486C9A" w:rsidP="00486C9A">
    <w:pPr>
      <w:pStyle w:val="Header"/>
      <w:jc w:val="right"/>
      <w:rPr>
        <w:rFonts w:ascii="Times New Roman" w:hAnsi="Times New Roman" w:cs="Times New Roman"/>
        <w:sz w:val="24"/>
        <w:szCs w:val="24"/>
      </w:rPr>
    </w:pPr>
    <w:r w:rsidRPr="00486C9A">
      <w:rPr>
        <w:rFonts w:ascii="Times New Roman" w:hAnsi="Times New Roman" w:cs="Times New Roman"/>
        <w:sz w:val="24"/>
        <w:szCs w:val="24"/>
      </w:rPr>
      <w:t xml:space="preserve">Running head: ANNOTATED BIBLIOGRAPHY </w:t>
    </w:r>
    <w:r w:rsidRPr="00486C9A">
      <w:rPr>
        <w:rFonts w:ascii="Times New Roman" w:hAnsi="Times New Roman" w:cs="Times New Roman"/>
        <w:sz w:val="24"/>
        <w:szCs w:val="24"/>
      </w:rPr>
      <w:tab/>
    </w:r>
    <w:sdt>
      <w:sdtPr>
        <w:rPr>
          <w:rFonts w:ascii="Times New Roman" w:hAnsi="Times New Roman" w:cs="Times New Roman"/>
          <w:sz w:val="24"/>
          <w:szCs w:val="24"/>
        </w:rPr>
        <w:id w:val="24348062"/>
        <w:docPartObj>
          <w:docPartGallery w:val="Page Numbers (Top of Page)"/>
          <w:docPartUnique/>
        </w:docPartObj>
      </w:sdtPr>
      <w:sdtContent>
        <w:r w:rsidRPr="00486C9A">
          <w:rPr>
            <w:rFonts w:ascii="Times New Roman" w:hAnsi="Times New Roman" w:cs="Times New Roman"/>
            <w:sz w:val="24"/>
            <w:szCs w:val="24"/>
          </w:rPr>
          <w:fldChar w:fldCharType="begin"/>
        </w:r>
        <w:r w:rsidRPr="00486C9A">
          <w:rPr>
            <w:rFonts w:ascii="Times New Roman" w:hAnsi="Times New Roman" w:cs="Times New Roman"/>
            <w:sz w:val="24"/>
            <w:szCs w:val="24"/>
          </w:rPr>
          <w:instrText xml:space="preserve"> PAGE   \* MERGEFORMAT </w:instrText>
        </w:r>
        <w:r w:rsidRPr="00486C9A">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6C9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86C9A"/>
    <w:rsid w:val="00486C9A"/>
    <w:rsid w:val="009903B7"/>
    <w:rsid w:val="00DD50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C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C9A"/>
  </w:style>
  <w:style w:type="paragraph" w:styleId="Footer">
    <w:name w:val="footer"/>
    <w:basedOn w:val="Normal"/>
    <w:link w:val="FooterChar"/>
    <w:uiPriority w:val="99"/>
    <w:semiHidden/>
    <w:unhideWhenUsed/>
    <w:rsid w:val="00486C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6C9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1758</Words>
  <Characters>10022</Characters>
  <Application>Microsoft Office Word</Application>
  <DocSecurity>0</DocSecurity>
  <Lines>83</Lines>
  <Paragraphs>23</Paragraphs>
  <ScaleCrop>false</ScaleCrop>
  <Company/>
  <LinksUpToDate>false</LinksUpToDate>
  <CharactersWithSpaces>11757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1</cp:revision>
  <dcterms:created xsi:type="dcterms:W3CDTF">2019-11-12T11:57:00Z</dcterms:created>
  <dcterms:modified xsi:type="dcterms:W3CDTF">2019-11-12T12:00:00Z</dcterms:modified>
</cp:coreProperties>
</file>