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0BCBD"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0D532710"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23557A6A"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157F1694"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447884D0"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15A90029" w14:textId="5E8A9D3D" w:rsidR="00EB34FC" w:rsidRPr="00EB34FC" w:rsidRDefault="00EB34FC" w:rsidP="00EB34FC">
      <w:pPr>
        <w:spacing w:after="0" w:line="480" w:lineRule="auto"/>
        <w:jc w:val="center"/>
        <w:rPr>
          <w:rFonts w:ascii="Times New Roman" w:hAnsi="Times New Roman" w:cs="Times New Roman"/>
          <w:bCs/>
          <w:color w:val="1B1B1B"/>
          <w:sz w:val="24"/>
          <w:szCs w:val="24"/>
          <w:shd w:val="clear" w:color="auto" w:fill="FFFFFF"/>
        </w:rPr>
      </w:pPr>
      <w:r w:rsidRPr="00EB34FC">
        <w:rPr>
          <w:rFonts w:ascii="Times New Roman" w:hAnsi="Times New Roman" w:cs="Times New Roman"/>
          <w:bCs/>
          <w:color w:val="1B1B1B"/>
          <w:sz w:val="24"/>
          <w:szCs w:val="24"/>
          <w:shd w:val="clear" w:color="auto" w:fill="FFFFFF"/>
        </w:rPr>
        <w:t>Apostle Paul</w:t>
      </w:r>
    </w:p>
    <w:p w14:paraId="0F77D560" w14:textId="77777777" w:rsidR="00EB34FC" w:rsidRPr="00EB34FC" w:rsidRDefault="00EB34FC" w:rsidP="00EB34FC">
      <w:pPr>
        <w:spacing w:after="0" w:line="480" w:lineRule="auto"/>
        <w:jc w:val="center"/>
        <w:rPr>
          <w:rFonts w:ascii="Times New Roman" w:hAnsi="Times New Roman" w:cs="Times New Roman"/>
          <w:bCs/>
          <w:color w:val="1B1B1B"/>
          <w:sz w:val="24"/>
          <w:szCs w:val="24"/>
          <w:shd w:val="clear" w:color="auto" w:fill="FFFFFF"/>
        </w:rPr>
      </w:pPr>
      <w:r w:rsidRPr="00EB34FC">
        <w:rPr>
          <w:rFonts w:ascii="Times New Roman" w:hAnsi="Times New Roman" w:cs="Times New Roman"/>
          <w:bCs/>
          <w:color w:val="1B1B1B"/>
          <w:sz w:val="24"/>
          <w:szCs w:val="24"/>
          <w:shd w:val="clear" w:color="auto" w:fill="FFFFFF"/>
        </w:rPr>
        <w:t>Student’s Name</w:t>
      </w:r>
    </w:p>
    <w:p w14:paraId="03418B5C" w14:textId="77777777" w:rsidR="00EB34FC" w:rsidRPr="00EB34FC" w:rsidRDefault="00EB34FC" w:rsidP="00EB34FC">
      <w:pPr>
        <w:spacing w:after="0" w:line="480" w:lineRule="auto"/>
        <w:jc w:val="center"/>
        <w:rPr>
          <w:rFonts w:ascii="Times New Roman" w:hAnsi="Times New Roman" w:cs="Times New Roman"/>
          <w:bCs/>
          <w:color w:val="1B1B1B"/>
          <w:sz w:val="24"/>
          <w:szCs w:val="24"/>
          <w:shd w:val="clear" w:color="auto" w:fill="FFFFFF"/>
        </w:rPr>
      </w:pPr>
      <w:r w:rsidRPr="00EB34FC">
        <w:rPr>
          <w:rFonts w:ascii="Times New Roman" w:hAnsi="Times New Roman" w:cs="Times New Roman"/>
          <w:bCs/>
          <w:color w:val="1B1B1B"/>
          <w:sz w:val="24"/>
          <w:szCs w:val="24"/>
          <w:shd w:val="clear" w:color="auto" w:fill="FFFFFF"/>
        </w:rPr>
        <w:t>Institutional Affiliation</w:t>
      </w:r>
    </w:p>
    <w:p w14:paraId="3B58F12D" w14:textId="048C06D7" w:rsidR="00EB34FC" w:rsidRPr="00EB34FC" w:rsidRDefault="00EB34FC" w:rsidP="00EB34FC">
      <w:pPr>
        <w:spacing w:after="0" w:line="480" w:lineRule="auto"/>
        <w:jc w:val="center"/>
        <w:rPr>
          <w:rFonts w:ascii="Times New Roman" w:hAnsi="Times New Roman" w:cs="Times New Roman"/>
          <w:bCs/>
          <w:color w:val="1B1B1B"/>
          <w:sz w:val="24"/>
          <w:szCs w:val="24"/>
          <w:shd w:val="clear" w:color="auto" w:fill="FFFFFF"/>
        </w:rPr>
      </w:pPr>
      <w:r w:rsidRPr="00EB34FC">
        <w:rPr>
          <w:rFonts w:ascii="Times New Roman" w:hAnsi="Times New Roman" w:cs="Times New Roman"/>
          <w:bCs/>
          <w:color w:val="1B1B1B"/>
          <w:sz w:val="24"/>
          <w:szCs w:val="24"/>
          <w:shd w:val="clear" w:color="auto" w:fill="FFFFFF"/>
        </w:rPr>
        <w:t>Date</w:t>
      </w:r>
    </w:p>
    <w:p w14:paraId="6AFA7A51"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1A496BE2"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127C80D4"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017A7568"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05386674"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42C63612"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4BF65DB0"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32DBF647"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4D9BDB5E"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57E288D3"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4B6792ED"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45E24EDF"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7EE05D46" w14:textId="77777777" w:rsidR="00EB34FC" w:rsidRDefault="00EB34FC" w:rsidP="00C11B3B">
      <w:pPr>
        <w:spacing w:after="0" w:line="480" w:lineRule="auto"/>
        <w:jc w:val="center"/>
        <w:rPr>
          <w:rFonts w:ascii="Times New Roman" w:hAnsi="Times New Roman" w:cs="Times New Roman"/>
          <w:b/>
          <w:bCs/>
          <w:color w:val="1B1B1B"/>
          <w:sz w:val="24"/>
          <w:szCs w:val="24"/>
          <w:shd w:val="clear" w:color="auto" w:fill="FFFFFF"/>
        </w:rPr>
      </w:pPr>
    </w:p>
    <w:p w14:paraId="38F726FD" w14:textId="195503A1" w:rsidR="00EB34FC" w:rsidRDefault="00EB34FC" w:rsidP="00EB34FC">
      <w:pPr>
        <w:spacing w:after="0" w:line="480" w:lineRule="auto"/>
        <w:rPr>
          <w:rFonts w:ascii="Times New Roman" w:hAnsi="Times New Roman" w:cs="Times New Roman"/>
          <w:b/>
          <w:bCs/>
          <w:color w:val="1B1B1B"/>
          <w:sz w:val="24"/>
          <w:szCs w:val="24"/>
          <w:shd w:val="clear" w:color="auto" w:fill="FFFFFF"/>
        </w:rPr>
      </w:pPr>
    </w:p>
    <w:p w14:paraId="0636FC4F" w14:textId="6B911C4A" w:rsidR="00C75D3E" w:rsidRPr="00C11B3B" w:rsidRDefault="00C75D3E" w:rsidP="00C11B3B">
      <w:pPr>
        <w:spacing w:after="0" w:line="480" w:lineRule="auto"/>
        <w:jc w:val="center"/>
        <w:rPr>
          <w:rFonts w:ascii="Times New Roman" w:hAnsi="Times New Roman" w:cs="Times New Roman"/>
          <w:b/>
          <w:bCs/>
          <w:color w:val="1B1B1B"/>
          <w:sz w:val="24"/>
          <w:szCs w:val="24"/>
          <w:shd w:val="clear" w:color="auto" w:fill="FFFFFF"/>
        </w:rPr>
      </w:pPr>
      <w:r w:rsidRPr="00C11B3B">
        <w:rPr>
          <w:rFonts w:ascii="Times New Roman" w:hAnsi="Times New Roman" w:cs="Times New Roman"/>
          <w:b/>
          <w:bCs/>
          <w:color w:val="1B1B1B"/>
          <w:sz w:val="24"/>
          <w:szCs w:val="24"/>
          <w:shd w:val="clear" w:color="auto" w:fill="FFFFFF"/>
        </w:rPr>
        <w:lastRenderedPageBreak/>
        <w:t>Paul</w:t>
      </w:r>
    </w:p>
    <w:p w14:paraId="1FEBCBF3" w14:textId="0DF65978" w:rsidR="0058432E" w:rsidRDefault="0058432E" w:rsidP="00535E45">
      <w:pPr>
        <w:spacing w:after="0" w:line="480" w:lineRule="auto"/>
        <w:ind w:firstLine="720"/>
        <w:rPr>
          <w:rFonts w:ascii="Times New Roman" w:hAnsi="Times New Roman" w:cs="Times New Roman"/>
          <w:color w:val="1B1B1B"/>
          <w:sz w:val="24"/>
          <w:szCs w:val="24"/>
          <w:shd w:val="clear" w:color="auto" w:fill="FFFFFF"/>
        </w:rPr>
      </w:pPr>
      <w:r w:rsidRPr="0058432E">
        <w:rPr>
          <w:rFonts w:ascii="Times New Roman" w:hAnsi="Times New Roman" w:cs="Times New Roman"/>
          <w:color w:val="1B1B1B"/>
          <w:sz w:val="24"/>
          <w:szCs w:val="24"/>
          <w:shd w:val="clear" w:color="auto" w:fill="FFFFFF"/>
        </w:rPr>
        <w:t xml:space="preserve">The question of whether Paul died or did not die when he was stoned in Lystra is a controversial one. The question is a difficult one to answer. The death of Paul is narrated briefly in the book of Acts. The argument of whether Paul died or did not die after stoning in Lystra is a matter of conjecture. The Jews thinking he had died and that is why they “dragged him outside the city.” The statement “thinking he was dead” is not enough to conclude that Paul was dead. </w:t>
      </w:r>
      <w:r>
        <w:rPr>
          <w:rFonts w:ascii="Times New Roman" w:hAnsi="Times New Roman" w:cs="Times New Roman"/>
          <w:color w:val="1B1B1B"/>
          <w:sz w:val="24"/>
          <w:szCs w:val="24"/>
          <w:shd w:val="clear" w:color="auto" w:fill="FFFFFF"/>
        </w:rPr>
        <w:t xml:space="preserve">However, someone may interpret it as if Paul died. </w:t>
      </w:r>
      <w:bookmarkStart w:id="0" w:name="_GoBack"/>
      <w:bookmarkEnd w:id="0"/>
    </w:p>
    <w:p w14:paraId="1DF0BDF1" w14:textId="3F0AF77F" w:rsidR="00BC641F" w:rsidRPr="00BC641F" w:rsidRDefault="0058432E" w:rsidP="00535E45">
      <w:pPr>
        <w:spacing w:after="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w:t>
      </w:r>
      <w:r w:rsidR="00BC641F" w:rsidRPr="00BC641F">
        <w:rPr>
          <w:rFonts w:ascii="Times New Roman" w:hAnsi="Times New Roman" w:cs="Times New Roman"/>
          <w:color w:val="1B1B1B"/>
          <w:sz w:val="24"/>
          <w:szCs w:val="24"/>
          <w:shd w:val="clear" w:color="auto" w:fill="FFFFFF"/>
        </w:rPr>
        <w:t xml:space="preserve">n Acts 14, when Paul was stoned at Lystra, he was badly injured, but he did not die. The reason is that when the other disciples came, he rose, and together they traveled to </w:t>
      </w:r>
      <w:proofErr w:type="spellStart"/>
      <w:r w:rsidR="00BC641F" w:rsidRPr="00BC641F">
        <w:rPr>
          <w:rFonts w:ascii="Times New Roman" w:hAnsi="Times New Roman" w:cs="Times New Roman"/>
          <w:color w:val="1B1B1B"/>
          <w:sz w:val="24"/>
          <w:szCs w:val="24"/>
          <w:shd w:val="clear" w:color="auto" w:fill="FFFFFF"/>
        </w:rPr>
        <w:t>Derbe</w:t>
      </w:r>
      <w:proofErr w:type="spellEnd"/>
      <w:r w:rsidR="00BC641F" w:rsidRPr="00BC641F">
        <w:rPr>
          <w:rFonts w:ascii="Times New Roman" w:hAnsi="Times New Roman" w:cs="Times New Roman"/>
          <w:color w:val="1B1B1B"/>
          <w:sz w:val="24"/>
          <w:szCs w:val="24"/>
          <w:shd w:val="clear" w:color="auto" w:fill="FFFFFF"/>
        </w:rPr>
        <w:t xml:space="preserve"> acc</w:t>
      </w:r>
      <w:r w:rsidR="00EB34FC">
        <w:rPr>
          <w:rFonts w:ascii="Times New Roman" w:hAnsi="Times New Roman" w:cs="Times New Roman"/>
          <w:color w:val="1B1B1B"/>
          <w:sz w:val="24"/>
          <w:szCs w:val="24"/>
          <w:shd w:val="clear" w:color="auto" w:fill="FFFFFF"/>
        </w:rPr>
        <w:t>ompanied by Barnabas</w:t>
      </w:r>
      <w:r w:rsidR="00EB34FC">
        <w:rPr>
          <w:rStyle w:val="FootnoteReference"/>
          <w:rFonts w:ascii="Times New Roman" w:hAnsi="Times New Roman" w:cs="Times New Roman"/>
          <w:color w:val="1B1B1B"/>
          <w:sz w:val="24"/>
          <w:szCs w:val="24"/>
          <w:shd w:val="clear" w:color="auto" w:fill="FFFFFF"/>
        </w:rPr>
        <w:footnoteReference w:id="1"/>
      </w:r>
      <w:r w:rsidR="00BC641F" w:rsidRPr="00BC641F">
        <w:rPr>
          <w:rFonts w:ascii="Times New Roman" w:hAnsi="Times New Roman" w:cs="Times New Roman"/>
          <w:color w:val="1B1B1B"/>
          <w:sz w:val="24"/>
          <w:szCs w:val="24"/>
          <w:shd w:val="clear" w:color="auto" w:fill="FFFFFF"/>
        </w:rPr>
        <w:t>. The stoning, therefore, left him unconscious. The testimony in Paul's second letter to the Corinthians chapter twelve is closely associated with Lystra's event. In this letter, Paul allusively explains his vision of third heaven to explain suffering</w:t>
      </w:r>
      <w:r w:rsidR="00EB34FC">
        <w:rPr>
          <w:rFonts w:ascii="Times New Roman" w:hAnsi="Times New Roman" w:cs="Times New Roman"/>
          <w:color w:val="1B1B1B"/>
          <w:sz w:val="24"/>
          <w:szCs w:val="24"/>
          <w:shd w:val="clear" w:color="auto" w:fill="FFFFFF"/>
        </w:rPr>
        <w:t>s and weaknesses</w:t>
      </w:r>
      <w:r w:rsidR="00EB34FC">
        <w:rPr>
          <w:rStyle w:val="FootnoteReference"/>
          <w:rFonts w:ascii="Times New Roman" w:hAnsi="Times New Roman" w:cs="Times New Roman"/>
          <w:color w:val="1B1B1B"/>
          <w:sz w:val="24"/>
          <w:szCs w:val="24"/>
          <w:shd w:val="clear" w:color="auto" w:fill="FFFFFF"/>
        </w:rPr>
        <w:footnoteReference w:id="2"/>
      </w:r>
      <w:r w:rsidR="00BC641F" w:rsidRPr="00BC641F">
        <w:rPr>
          <w:rFonts w:ascii="Times New Roman" w:hAnsi="Times New Roman" w:cs="Times New Roman"/>
          <w:color w:val="1B1B1B"/>
          <w:sz w:val="24"/>
          <w:szCs w:val="24"/>
          <w:shd w:val="clear" w:color="auto" w:fill="FFFFFF"/>
        </w:rPr>
        <w:t xml:space="preserve">. The association is valid because the stoning at Lystra made him pass away, and therefore there is a possibility he saw the vision at that time. </w:t>
      </w:r>
    </w:p>
    <w:p w14:paraId="5798D4A4" w14:textId="3CB6C35E" w:rsidR="00663C6C" w:rsidRDefault="00BC641F" w:rsidP="00F215EE">
      <w:pPr>
        <w:spacing w:after="0" w:line="480" w:lineRule="auto"/>
        <w:ind w:firstLine="720"/>
        <w:rPr>
          <w:rFonts w:ascii="Times New Roman" w:hAnsi="Times New Roman" w:cs="Times New Roman"/>
          <w:color w:val="1B1B1B"/>
          <w:sz w:val="24"/>
          <w:szCs w:val="24"/>
          <w:shd w:val="clear" w:color="auto" w:fill="FFFFFF"/>
        </w:rPr>
      </w:pPr>
      <w:r w:rsidRPr="00BC641F">
        <w:rPr>
          <w:rFonts w:ascii="Times New Roman" w:hAnsi="Times New Roman" w:cs="Times New Roman"/>
          <w:color w:val="1B1B1B"/>
          <w:sz w:val="24"/>
          <w:szCs w:val="24"/>
          <w:shd w:val="clear" w:color="auto" w:fill="FFFFFF"/>
        </w:rPr>
        <w:t>In Acts 15, the church's pillars from the great council in Jerusalem agreed to Paul's view that there was no significance in circu</w:t>
      </w:r>
      <w:r w:rsidR="00EB34FC">
        <w:rPr>
          <w:rFonts w:ascii="Times New Roman" w:hAnsi="Times New Roman" w:cs="Times New Roman"/>
          <w:color w:val="1B1B1B"/>
          <w:sz w:val="24"/>
          <w:szCs w:val="24"/>
          <w:shd w:val="clear" w:color="auto" w:fill="FFFFFF"/>
        </w:rPr>
        <w:t>mcising the Gentiles</w:t>
      </w:r>
      <w:r w:rsidRPr="00BC641F">
        <w:rPr>
          <w:rFonts w:ascii="Times New Roman" w:hAnsi="Times New Roman" w:cs="Times New Roman"/>
          <w:color w:val="1B1B1B"/>
          <w:sz w:val="24"/>
          <w:szCs w:val="24"/>
          <w:shd w:val="clear" w:color="auto" w:fill="FFFFFF"/>
        </w:rPr>
        <w:t xml:space="preserve">. However, in Acts 16, Paul took a step of circumcising Timothy despite his stand of no significance in physical circumcision. The action by Paul was not hypocritical. According to </w:t>
      </w:r>
      <w:proofErr w:type="spellStart"/>
      <w:r w:rsidRPr="00BC641F">
        <w:rPr>
          <w:rFonts w:ascii="Times New Roman" w:hAnsi="Times New Roman" w:cs="Times New Roman"/>
          <w:color w:val="1B1B1B"/>
          <w:sz w:val="24"/>
          <w:szCs w:val="24"/>
          <w:shd w:val="clear" w:color="auto" w:fill="FFFFFF"/>
        </w:rPr>
        <w:t>Hoehl</w:t>
      </w:r>
      <w:proofErr w:type="spellEnd"/>
      <w:r w:rsidRPr="00BC641F">
        <w:rPr>
          <w:rFonts w:ascii="Times New Roman" w:hAnsi="Times New Roman" w:cs="Times New Roman"/>
          <w:color w:val="1B1B1B"/>
          <w:sz w:val="24"/>
          <w:szCs w:val="24"/>
          <w:shd w:val="clear" w:color="auto" w:fill="FFFFFF"/>
        </w:rPr>
        <w:t xml:space="preserve"> (2011), Paul was justified to do that because Timothy was a Jew in the first place. Therefore, for Timothy to access the synagogues, he must have been circumcised. The entry of synagogues was significant in spreading the </w:t>
      </w:r>
      <w:r w:rsidRPr="00BC641F">
        <w:rPr>
          <w:rFonts w:ascii="Times New Roman" w:hAnsi="Times New Roman" w:cs="Times New Roman"/>
          <w:color w:val="1B1B1B"/>
          <w:sz w:val="24"/>
          <w:szCs w:val="24"/>
          <w:shd w:val="clear" w:color="auto" w:fill="FFFFFF"/>
        </w:rPr>
        <w:lastRenderedPageBreak/>
        <w:t xml:space="preserve">message of Good News since the place was the best place of contact in all the Jewish cities. </w:t>
      </w:r>
      <w:r w:rsidR="00F24B1A" w:rsidRPr="00F24B1A">
        <w:rPr>
          <w:rFonts w:ascii="Times New Roman" w:hAnsi="Times New Roman" w:cs="Times New Roman"/>
          <w:color w:val="1B1B1B"/>
          <w:sz w:val="24"/>
          <w:szCs w:val="24"/>
          <w:shd w:val="clear" w:color="auto" w:fill="FFFFFF"/>
        </w:rPr>
        <w:t>Besides, it was easy for Timothy to relate with his audience being circumcised since he could easily identify himself with the cultural background. Therefore, the step was a preparation of Paul to Timothy for a mission and a higher task. Therefore, it was not a hypocritical step by Paul since whether circumcised or not, Paul did not regard it as relevant regarding the Gospel's matters. Furthermore, he was ready to sacrifice anything on behalf of both the Jews and Gentiles, as illustrated in 1 Corinthians 9</w:t>
      </w:r>
      <w:r w:rsidR="003B301D">
        <w:rPr>
          <w:rFonts w:ascii="Times New Roman" w:hAnsi="Times New Roman" w:cs="Times New Roman"/>
          <w:color w:val="1B1B1B"/>
          <w:sz w:val="24"/>
          <w:szCs w:val="24"/>
          <w:shd w:val="clear" w:color="auto" w:fill="FFFFFF"/>
        </w:rPr>
        <w:t xml:space="preserve">. </w:t>
      </w:r>
    </w:p>
    <w:p w14:paraId="46F5253E" w14:textId="77777777" w:rsidR="00F215EE" w:rsidRDefault="00F215EE" w:rsidP="00F215EE">
      <w:pPr>
        <w:spacing w:after="0" w:line="480" w:lineRule="auto"/>
        <w:ind w:firstLine="720"/>
        <w:rPr>
          <w:rFonts w:ascii="Times New Roman" w:hAnsi="Times New Roman" w:cs="Times New Roman"/>
          <w:color w:val="1B1B1B"/>
          <w:sz w:val="24"/>
          <w:szCs w:val="24"/>
          <w:shd w:val="clear" w:color="auto" w:fill="FFFFFF"/>
        </w:rPr>
      </w:pPr>
    </w:p>
    <w:p w14:paraId="19B62AF0" w14:textId="77777777" w:rsidR="00BC641F" w:rsidRDefault="00BC641F" w:rsidP="00663C6C">
      <w:pPr>
        <w:spacing w:after="0" w:line="480" w:lineRule="auto"/>
        <w:rPr>
          <w:rFonts w:ascii="Times New Roman" w:hAnsi="Times New Roman" w:cs="Times New Roman"/>
          <w:color w:val="1B1B1B"/>
          <w:sz w:val="24"/>
          <w:szCs w:val="24"/>
          <w:shd w:val="clear" w:color="auto" w:fill="FFFFFF"/>
        </w:rPr>
      </w:pPr>
    </w:p>
    <w:p w14:paraId="2814B3EE"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7A33F79C"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7717EEC2"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73065623"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4937C643"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3C26A108"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6085955B"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75025342"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5A7C3F49"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43B9DDDA"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01A42105"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0125977F"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79AFBAB0"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5A61A97C"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4C20666E"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1D5A1CAD"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2E4CAFC9"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618C9968"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4243694B" w14:textId="77777777" w:rsidR="00EB34FC" w:rsidRDefault="00EB34FC" w:rsidP="00663C6C">
      <w:pPr>
        <w:spacing w:after="0" w:line="480" w:lineRule="auto"/>
        <w:jc w:val="center"/>
        <w:rPr>
          <w:rFonts w:ascii="Times New Roman" w:hAnsi="Times New Roman" w:cs="Times New Roman"/>
          <w:b/>
          <w:bCs/>
          <w:color w:val="222222"/>
          <w:sz w:val="24"/>
          <w:szCs w:val="24"/>
          <w:shd w:val="clear" w:color="auto" w:fill="FFFFFF"/>
        </w:rPr>
      </w:pPr>
    </w:p>
    <w:p w14:paraId="39BF946B" w14:textId="77B3A810" w:rsidR="00BC641F" w:rsidRPr="00BC641F" w:rsidRDefault="00BC641F" w:rsidP="00663C6C">
      <w:pPr>
        <w:spacing w:after="0" w:line="480" w:lineRule="auto"/>
        <w:jc w:val="center"/>
        <w:rPr>
          <w:rFonts w:ascii="Times New Roman" w:hAnsi="Times New Roman" w:cs="Times New Roman"/>
          <w:b/>
          <w:bCs/>
          <w:color w:val="222222"/>
          <w:sz w:val="24"/>
          <w:szCs w:val="24"/>
          <w:shd w:val="clear" w:color="auto" w:fill="FFFFFF"/>
        </w:rPr>
      </w:pPr>
      <w:r w:rsidRPr="00BC641F">
        <w:rPr>
          <w:rFonts w:ascii="Times New Roman" w:hAnsi="Times New Roman" w:cs="Times New Roman"/>
          <w:b/>
          <w:bCs/>
          <w:color w:val="222222"/>
          <w:sz w:val="24"/>
          <w:szCs w:val="24"/>
          <w:shd w:val="clear" w:color="auto" w:fill="FFFFFF"/>
        </w:rPr>
        <w:t>References</w:t>
      </w:r>
    </w:p>
    <w:p w14:paraId="66CBD886" w14:textId="7C99F7AD" w:rsidR="00986913" w:rsidRPr="00A3661B" w:rsidRDefault="00986913" w:rsidP="00663C6C">
      <w:pPr>
        <w:spacing w:after="0" w:line="480" w:lineRule="auto"/>
        <w:rPr>
          <w:rFonts w:ascii="Times New Roman" w:hAnsi="Times New Roman" w:cs="Times New Roman"/>
          <w:color w:val="222222"/>
          <w:sz w:val="24"/>
          <w:szCs w:val="24"/>
          <w:shd w:val="clear" w:color="auto" w:fill="FFFFFF"/>
        </w:rPr>
      </w:pPr>
      <w:r w:rsidRPr="00A3661B">
        <w:rPr>
          <w:rFonts w:ascii="Times New Roman" w:hAnsi="Times New Roman" w:cs="Times New Roman"/>
          <w:color w:val="222222"/>
          <w:sz w:val="24"/>
          <w:szCs w:val="24"/>
          <w:shd w:val="clear" w:color="auto" w:fill="FFFFFF"/>
        </w:rPr>
        <w:t>Ger, S. (2004). </w:t>
      </w:r>
      <w:r w:rsidRPr="00A3661B">
        <w:rPr>
          <w:rFonts w:ascii="Times New Roman" w:hAnsi="Times New Roman" w:cs="Times New Roman"/>
          <w:i/>
          <w:iCs/>
          <w:color w:val="222222"/>
          <w:sz w:val="24"/>
          <w:szCs w:val="24"/>
          <w:shd w:val="clear" w:color="auto" w:fill="FFFFFF"/>
        </w:rPr>
        <w:t>The Book of Acts: Witnesses to the world</w:t>
      </w:r>
      <w:r w:rsidRPr="00A3661B">
        <w:rPr>
          <w:rFonts w:ascii="Times New Roman" w:hAnsi="Times New Roman" w:cs="Times New Roman"/>
          <w:color w:val="222222"/>
          <w:sz w:val="24"/>
          <w:szCs w:val="24"/>
          <w:shd w:val="clear" w:color="auto" w:fill="FFFFFF"/>
        </w:rPr>
        <w:t>. AMG Publishers.</w:t>
      </w:r>
    </w:p>
    <w:p w14:paraId="068279F3" w14:textId="110D3B99" w:rsidR="001C2390" w:rsidRPr="00A3661B" w:rsidRDefault="001C2390" w:rsidP="00663C6C">
      <w:pPr>
        <w:spacing w:after="0" w:line="480" w:lineRule="auto"/>
        <w:ind w:left="720" w:hanging="720"/>
        <w:contextualSpacing/>
        <w:rPr>
          <w:rFonts w:ascii="Times New Roman" w:hAnsi="Times New Roman" w:cs="Times New Roman"/>
          <w:sz w:val="24"/>
          <w:szCs w:val="24"/>
        </w:rPr>
      </w:pPr>
      <w:proofErr w:type="spellStart"/>
      <w:r w:rsidRPr="00A3661B">
        <w:rPr>
          <w:rFonts w:ascii="Times New Roman" w:hAnsi="Times New Roman" w:cs="Times New Roman"/>
          <w:color w:val="222222"/>
          <w:sz w:val="24"/>
          <w:szCs w:val="24"/>
          <w:shd w:val="clear" w:color="auto" w:fill="FFFFFF"/>
        </w:rPr>
        <w:t>Hoehl</w:t>
      </w:r>
      <w:proofErr w:type="spellEnd"/>
      <w:r w:rsidRPr="00A3661B">
        <w:rPr>
          <w:rFonts w:ascii="Times New Roman" w:hAnsi="Times New Roman" w:cs="Times New Roman"/>
          <w:color w:val="222222"/>
          <w:sz w:val="24"/>
          <w:szCs w:val="24"/>
          <w:shd w:val="clear" w:color="auto" w:fill="FFFFFF"/>
        </w:rPr>
        <w:t>, S. E. (2011). The mentor relationship: An exploration of Paul as loving mentor to Timothy and the application of this relationship to contemporary leadership challenges. </w:t>
      </w:r>
      <w:r w:rsidRPr="00A3661B">
        <w:rPr>
          <w:rFonts w:ascii="Times New Roman" w:hAnsi="Times New Roman" w:cs="Times New Roman"/>
          <w:i/>
          <w:iCs/>
          <w:color w:val="222222"/>
          <w:sz w:val="24"/>
          <w:szCs w:val="24"/>
          <w:shd w:val="clear" w:color="auto" w:fill="FFFFFF"/>
        </w:rPr>
        <w:t>Journal of Biblical Perspectives in Leadership</w:t>
      </w:r>
      <w:r w:rsidRPr="00A3661B">
        <w:rPr>
          <w:rFonts w:ascii="Times New Roman" w:hAnsi="Times New Roman" w:cs="Times New Roman"/>
          <w:color w:val="222222"/>
          <w:sz w:val="24"/>
          <w:szCs w:val="24"/>
          <w:shd w:val="clear" w:color="auto" w:fill="FFFFFF"/>
        </w:rPr>
        <w:t>, </w:t>
      </w:r>
      <w:r w:rsidRPr="00A3661B">
        <w:rPr>
          <w:rFonts w:ascii="Times New Roman" w:hAnsi="Times New Roman" w:cs="Times New Roman"/>
          <w:i/>
          <w:iCs/>
          <w:color w:val="222222"/>
          <w:sz w:val="24"/>
          <w:szCs w:val="24"/>
          <w:shd w:val="clear" w:color="auto" w:fill="FFFFFF"/>
        </w:rPr>
        <w:t>3</w:t>
      </w:r>
      <w:r w:rsidRPr="00A3661B">
        <w:rPr>
          <w:rFonts w:ascii="Times New Roman" w:hAnsi="Times New Roman" w:cs="Times New Roman"/>
          <w:color w:val="222222"/>
          <w:sz w:val="24"/>
          <w:szCs w:val="24"/>
          <w:shd w:val="clear" w:color="auto" w:fill="FFFFFF"/>
        </w:rPr>
        <w:t>(2), 32-47.</w:t>
      </w:r>
    </w:p>
    <w:p w14:paraId="1412173E" w14:textId="77777777" w:rsidR="005557BE" w:rsidRPr="00C75D3E" w:rsidRDefault="005557BE" w:rsidP="00663C6C">
      <w:pPr>
        <w:spacing w:after="0" w:line="480" w:lineRule="auto"/>
        <w:rPr>
          <w:rFonts w:ascii="Times New Roman" w:hAnsi="Times New Roman" w:cs="Times New Roman"/>
          <w:sz w:val="24"/>
          <w:szCs w:val="24"/>
        </w:rPr>
      </w:pPr>
    </w:p>
    <w:sectPr w:rsidR="005557BE" w:rsidRPr="00C75D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7BEFD" w14:textId="77777777" w:rsidR="00745AB7" w:rsidRDefault="00745AB7" w:rsidP="00EB34FC">
      <w:pPr>
        <w:spacing w:after="0" w:line="240" w:lineRule="auto"/>
      </w:pPr>
      <w:r>
        <w:separator/>
      </w:r>
    </w:p>
  </w:endnote>
  <w:endnote w:type="continuationSeparator" w:id="0">
    <w:p w14:paraId="7230ACEB" w14:textId="77777777" w:rsidR="00745AB7" w:rsidRDefault="00745AB7" w:rsidP="00EB3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DAD08" w14:textId="77777777" w:rsidR="00745AB7" w:rsidRDefault="00745AB7" w:rsidP="00EB34FC">
      <w:pPr>
        <w:spacing w:after="0" w:line="240" w:lineRule="auto"/>
      </w:pPr>
      <w:r>
        <w:separator/>
      </w:r>
    </w:p>
  </w:footnote>
  <w:footnote w:type="continuationSeparator" w:id="0">
    <w:p w14:paraId="0A49DA1A" w14:textId="77777777" w:rsidR="00745AB7" w:rsidRDefault="00745AB7" w:rsidP="00EB34FC">
      <w:pPr>
        <w:spacing w:after="0" w:line="240" w:lineRule="auto"/>
      </w:pPr>
      <w:r>
        <w:continuationSeparator/>
      </w:r>
    </w:p>
  </w:footnote>
  <w:footnote w:id="1">
    <w:p w14:paraId="3E5D78E1" w14:textId="414C7CAC" w:rsidR="00EB34FC" w:rsidRPr="00EB34FC" w:rsidRDefault="00EB34FC">
      <w:pPr>
        <w:pStyle w:val="FootnoteText"/>
        <w:rPr>
          <w:rFonts w:ascii="Times New Roman" w:hAnsi="Times New Roman" w:cs="Times New Roman"/>
          <w:sz w:val="24"/>
          <w:szCs w:val="24"/>
        </w:rPr>
      </w:pPr>
      <w:r w:rsidRPr="00EB34FC">
        <w:rPr>
          <w:rStyle w:val="FootnoteReference"/>
          <w:rFonts w:ascii="Times New Roman" w:hAnsi="Times New Roman" w:cs="Times New Roman"/>
          <w:sz w:val="24"/>
          <w:szCs w:val="24"/>
        </w:rPr>
        <w:footnoteRef/>
      </w:r>
      <w:r w:rsidRPr="00EB34FC">
        <w:rPr>
          <w:rFonts w:ascii="Times New Roman" w:hAnsi="Times New Roman" w:cs="Times New Roman"/>
          <w:sz w:val="24"/>
          <w:szCs w:val="24"/>
        </w:rPr>
        <w:t xml:space="preserve"> </w:t>
      </w:r>
      <w:proofErr w:type="spellStart"/>
      <w:r w:rsidRPr="00EB34FC">
        <w:rPr>
          <w:rFonts w:ascii="Times New Roman" w:hAnsi="Times New Roman" w:cs="Times New Roman"/>
          <w:sz w:val="24"/>
          <w:szCs w:val="24"/>
        </w:rPr>
        <w:t>Ger</w:t>
      </w:r>
      <w:proofErr w:type="spellEnd"/>
      <w:r w:rsidRPr="00EB34FC">
        <w:rPr>
          <w:rFonts w:ascii="Times New Roman" w:hAnsi="Times New Roman" w:cs="Times New Roman"/>
          <w:sz w:val="24"/>
          <w:szCs w:val="24"/>
        </w:rPr>
        <w:t>, S. (2004). The Book of Acts: Witnesses to the world. AMG Publishers.</w:t>
      </w:r>
    </w:p>
  </w:footnote>
  <w:footnote w:id="2">
    <w:p w14:paraId="729143F2" w14:textId="3696C78F" w:rsidR="00EB34FC" w:rsidRDefault="00EB34FC">
      <w:pPr>
        <w:pStyle w:val="FootnoteText"/>
      </w:pPr>
      <w:r w:rsidRPr="00EB34FC">
        <w:rPr>
          <w:rStyle w:val="FootnoteReference"/>
          <w:rFonts w:ascii="Times New Roman" w:hAnsi="Times New Roman" w:cs="Times New Roman"/>
          <w:sz w:val="24"/>
          <w:szCs w:val="24"/>
        </w:rPr>
        <w:footnoteRef/>
      </w:r>
      <w:r w:rsidRPr="00EB34FC">
        <w:rPr>
          <w:rFonts w:ascii="Times New Roman" w:hAnsi="Times New Roman" w:cs="Times New Roman"/>
          <w:sz w:val="24"/>
          <w:szCs w:val="24"/>
        </w:rPr>
        <w:t xml:space="preserve"> </w:t>
      </w:r>
      <w:proofErr w:type="spellStart"/>
      <w:r w:rsidRPr="00EB34FC">
        <w:rPr>
          <w:rFonts w:ascii="Times New Roman" w:hAnsi="Times New Roman" w:cs="Times New Roman"/>
          <w:sz w:val="24"/>
          <w:szCs w:val="24"/>
        </w:rPr>
        <w:t>Hoehl</w:t>
      </w:r>
      <w:proofErr w:type="spellEnd"/>
      <w:r w:rsidRPr="00EB34FC">
        <w:rPr>
          <w:rFonts w:ascii="Times New Roman" w:hAnsi="Times New Roman" w:cs="Times New Roman"/>
          <w:sz w:val="24"/>
          <w:szCs w:val="24"/>
        </w:rPr>
        <w:t>, S. E. (2011). The mentor relationship: An exploration of Paul as loving mentor to Timothy and the application of this relationship to contemporary leadership challenges. Journal of Biblical Perspectives in Leadership, 3(2), 32-47.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8518232"/>
      <w:docPartObj>
        <w:docPartGallery w:val="Page Numbers (Top of Page)"/>
        <w:docPartUnique/>
      </w:docPartObj>
    </w:sdtPr>
    <w:sdtEndPr>
      <w:rPr>
        <w:rFonts w:ascii="Times New Roman" w:hAnsi="Times New Roman" w:cs="Times New Roman"/>
        <w:noProof/>
        <w:sz w:val="24"/>
        <w:szCs w:val="24"/>
      </w:rPr>
    </w:sdtEndPr>
    <w:sdtContent>
      <w:p w14:paraId="38C448AD" w14:textId="07DF5740" w:rsidR="00EB34FC" w:rsidRPr="00EB34FC" w:rsidRDefault="00EB34FC">
        <w:pPr>
          <w:pStyle w:val="Header"/>
          <w:jc w:val="right"/>
          <w:rPr>
            <w:rFonts w:ascii="Times New Roman" w:hAnsi="Times New Roman" w:cs="Times New Roman"/>
            <w:sz w:val="24"/>
            <w:szCs w:val="24"/>
          </w:rPr>
        </w:pPr>
        <w:r w:rsidRPr="00EB34FC">
          <w:rPr>
            <w:rFonts w:ascii="Times New Roman" w:hAnsi="Times New Roman" w:cs="Times New Roman"/>
            <w:sz w:val="24"/>
            <w:szCs w:val="24"/>
          </w:rPr>
          <w:fldChar w:fldCharType="begin"/>
        </w:r>
        <w:r w:rsidRPr="00EB34FC">
          <w:rPr>
            <w:rFonts w:ascii="Times New Roman" w:hAnsi="Times New Roman" w:cs="Times New Roman"/>
            <w:sz w:val="24"/>
            <w:szCs w:val="24"/>
          </w:rPr>
          <w:instrText xml:space="preserve"> PAGE   \* MERGEFORMAT </w:instrText>
        </w:r>
        <w:r w:rsidRPr="00EB34FC">
          <w:rPr>
            <w:rFonts w:ascii="Times New Roman" w:hAnsi="Times New Roman" w:cs="Times New Roman"/>
            <w:sz w:val="24"/>
            <w:szCs w:val="24"/>
          </w:rPr>
          <w:fldChar w:fldCharType="separate"/>
        </w:r>
        <w:r w:rsidR="0058432E">
          <w:rPr>
            <w:rFonts w:ascii="Times New Roman" w:hAnsi="Times New Roman" w:cs="Times New Roman"/>
            <w:noProof/>
            <w:sz w:val="24"/>
            <w:szCs w:val="24"/>
          </w:rPr>
          <w:t>2</w:t>
        </w:r>
        <w:r w:rsidRPr="00EB34FC">
          <w:rPr>
            <w:rFonts w:ascii="Times New Roman" w:hAnsi="Times New Roman" w:cs="Times New Roman"/>
            <w:noProof/>
            <w:sz w:val="24"/>
            <w:szCs w:val="24"/>
          </w:rPr>
          <w:fldChar w:fldCharType="end"/>
        </w:r>
      </w:p>
    </w:sdtContent>
  </w:sdt>
  <w:p w14:paraId="100A2A2B" w14:textId="77777777" w:rsidR="00EB34FC" w:rsidRDefault="00EB34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D3E"/>
    <w:rsid w:val="000225BA"/>
    <w:rsid w:val="0005664E"/>
    <w:rsid w:val="00057ECC"/>
    <w:rsid w:val="000E04CF"/>
    <w:rsid w:val="00142930"/>
    <w:rsid w:val="00143165"/>
    <w:rsid w:val="001517F1"/>
    <w:rsid w:val="0018283D"/>
    <w:rsid w:val="001A23EF"/>
    <w:rsid w:val="001A2C8E"/>
    <w:rsid w:val="001C2390"/>
    <w:rsid w:val="001C332B"/>
    <w:rsid w:val="001C762E"/>
    <w:rsid w:val="001E537B"/>
    <w:rsid w:val="002473D0"/>
    <w:rsid w:val="00291DF8"/>
    <w:rsid w:val="00323590"/>
    <w:rsid w:val="00357E78"/>
    <w:rsid w:val="003A7BAB"/>
    <w:rsid w:val="003B0A1B"/>
    <w:rsid w:val="003B301D"/>
    <w:rsid w:val="00433F6F"/>
    <w:rsid w:val="004A15C0"/>
    <w:rsid w:val="00504243"/>
    <w:rsid w:val="00527DFF"/>
    <w:rsid w:val="00535E45"/>
    <w:rsid w:val="00541CF1"/>
    <w:rsid w:val="005557BE"/>
    <w:rsid w:val="0058432E"/>
    <w:rsid w:val="005A7AAB"/>
    <w:rsid w:val="005C154F"/>
    <w:rsid w:val="005D5D38"/>
    <w:rsid w:val="00600306"/>
    <w:rsid w:val="0060175B"/>
    <w:rsid w:val="00604ECA"/>
    <w:rsid w:val="00606D5B"/>
    <w:rsid w:val="006310A4"/>
    <w:rsid w:val="00663C6C"/>
    <w:rsid w:val="006F402F"/>
    <w:rsid w:val="00742115"/>
    <w:rsid w:val="00745AB7"/>
    <w:rsid w:val="007A308B"/>
    <w:rsid w:val="007C5E25"/>
    <w:rsid w:val="007D7AA0"/>
    <w:rsid w:val="00840A16"/>
    <w:rsid w:val="00855D43"/>
    <w:rsid w:val="00894761"/>
    <w:rsid w:val="008A62D6"/>
    <w:rsid w:val="008B3FC6"/>
    <w:rsid w:val="008E78F1"/>
    <w:rsid w:val="00907D90"/>
    <w:rsid w:val="00986913"/>
    <w:rsid w:val="009F70D6"/>
    <w:rsid w:val="00A04D97"/>
    <w:rsid w:val="00A07EFC"/>
    <w:rsid w:val="00A13B8F"/>
    <w:rsid w:val="00A3661B"/>
    <w:rsid w:val="00A52DCB"/>
    <w:rsid w:val="00A717A0"/>
    <w:rsid w:val="00A93A33"/>
    <w:rsid w:val="00AC5E14"/>
    <w:rsid w:val="00B5733D"/>
    <w:rsid w:val="00BA12DF"/>
    <w:rsid w:val="00BB40DE"/>
    <w:rsid w:val="00BC641F"/>
    <w:rsid w:val="00BD2953"/>
    <w:rsid w:val="00C063D9"/>
    <w:rsid w:val="00C11B3B"/>
    <w:rsid w:val="00C16D04"/>
    <w:rsid w:val="00C75D3E"/>
    <w:rsid w:val="00C77A49"/>
    <w:rsid w:val="00D4672A"/>
    <w:rsid w:val="00DA6F98"/>
    <w:rsid w:val="00DF0AE2"/>
    <w:rsid w:val="00E04006"/>
    <w:rsid w:val="00E17A5B"/>
    <w:rsid w:val="00E94A0B"/>
    <w:rsid w:val="00EB34FC"/>
    <w:rsid w:val="00EE3B4E"/>
    <w:rsid w:val="00F0108C"/>
    <w:rsid w:val="00F215EE"/>
    <w:rsid w:val="00F24B1A"/>
    <w:rsid w:val="00F337A7"/>
    <w:rsid w:val="00F73A45"/>
    <w:rsid w:val="00FC6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378EA"/>
  <w15:chartTrackingRefBased/>
  <w15:docId w15:val="{FB092B3D-1676-4896-97D1-429813B02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557BE"/>
    <w:rPr>
      <w:i/>
      <w:iCs/>
    </w:rPr>
  </w:style>
  <w:style w:type="paragraph" w:customStyle="1" w:styleId="Default">
    <w:name w:val="Default"/>
    <w:rsid w:val="00A13B8F"/>
    <w:pPr>
      <w:autoSpaceDE w:val="0"/>
      <w:autoSpaceDN w:val="0"/>
      <w:adjustRightInd w:val="0"/>
      <w:spacing w:after="0" w:line="240" w:lineRule="auto"/>
    </w:pPr>
    <w:rPr>
      <w:rFonts w:ascii="Code" w:hAnsi="Code" w:cs="Code"/>
      <w:color w:val="000000"/>
      <w:sz w:val="24"/>
      <w:szCs w:val="24"/>
    </w:rPr>
  </w:style>
  <w:style w:type="paragraph" w:styleId="FootnoteText">
    <w:name w:val="footnote text"/>
    <w:basedOn w:val="Normal"/>
    <w:link w:val="FootnoteTextChar"/>
    <w:uiPriority w:val="99"/>
    <w:semiHidden/>
    <w:unhideWhenUsed/>
    <w:rsid w:val="00EB34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34FC"/>
    <w:rPr>
      <w:sz w:val="20"/>
      <w:szCs w:val="20"/>
    </w:rPr>
  </w:style>
  <w:style w:type="character" w:styleId="FootnoteReference">
    <w:name w:val="footnote reference"/>
    <w:basedOn w:val="DefaultParagraphFont"/>
    <w:uiPriority w:val="99"/>
    <w:semiHidden/>
    <w:unhideWhenUsed/>
    <w:rsid w:val="00EB34FC"/>
    <w:rPr>
      <w:vertAlign w:val="superscript"/>
    </w:rPr>
  </w:style>
  <w:style w:type="paragraph" w:styleId="Header">
    <w:name w:val="header"/>
    <w:basedOn w:val="Normal"/>
    <w:link w:val="HeaderChar"/>
    <w:uiPriority w:val="99"/>
    <w:unhideWhenUsed/>
    <w:rsid w:val="00EB3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4FC"/>
  </w:style>
  <w:style w:type="paragraph" w:styleId="Footer">
    <w:name w:val="footer"/>
    <w:basedOn w:val="Normal"/>
    <w:link w:val="FooterChar"/>
    <w:uiPriority w:val="99"/>
    <w:unhideWhenUsed/>
    <w:rsid w:val="00EB3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F57AD-6DB4-4E62-B456-D00095F27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118</cp:revision>
  <dcterms:created xsi:type="dcterms:W3CDTF">2020-10-01T09:12:00Z</dcterms:created>
  <dcterms:modified xsi:type="dcterms:W3CDTF">2020-10-01T17:13:00Z</dcterms:modified>
</cp:coreProperties>
</file>