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42236" w14:textId="77777777" w:rsidR="00F83667" w:rsidRPr="00380989" w:rsidRDefault="00F83667" w:rsidP="002A0116">
      <w:pPr>
        <w:jc w:val="right"/>
        <w:rPr>
          <w:rFonts w:asciiTheme="majorBidi" w:hAnsiTheme="majorBidi" w:cstheme="majorBidi"/>
          <w:b/>
          <w:bCs/>
          <w:color w:val="1A1A1A" w:themeColor="background1" w:themeShade="1A"/>
          <w:sz w:val="24"/>
          <w:szCs w:val="24"/>
          <w:rtl/>
        </w:rPr>
      </w:pPr>
      <w:r w:rsidRPr="00380989">
        <w:rPr>
          <w:rFonts w:asciiTheme="majorBidi" w:hAnsiTheme="majorBidi" w:cstheme="majorBidi" w:hint="cs"/>
          <w:b/>
          <w:bCs/>
          <w:color w:val="1A1A1A" w:themeColor="background1" w:themeShade="1A"/>
          <w:sz w:val="24"/>
          <w:szCs w:val="24"/>
          <w:rtl/>
        </w:rPr>
        <w:t>First peer post</w:t>
      </w:r>
    </w:p>
    <w:p w14:paraId="35D14BC2"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 xml:space="preserve">In my research I studied the relationship between optimism and resilience. For the optimism test we measured this by using the Revised Life Orientation Test (LOT-R; </w:t>
      </w:r>
      <w:proofErr w:type="spellStart"/>
      <w:r w:rsidRPr="00226420">
        <w:rPr>
          <w:rFonts w:ascii="Times New Roman" w:hAnsi="Times New Roman" w:cs="Times New Roman"/>
          <w:color w:val="1A1A1A" w:themeColor="background1" w:themeShade="1A"/>
          <w:sz w:val="24"/>
          <w:szCs w:val="24"/>
        </w:rPr>
        <w:t>Scheier</w:t>
      </w:r>
      <w:proofErr w:type="spellEnd"/>
      <w:r w:rsidRPr="00226420">
        <w:rPr>
          <w:rFonts w:ascii="Times New Roman" w:hAnsi="Times New Roman" w:cs="Times New Roman"/>
          <w:color w:val="1A1A1A" w:themeColor="background1" w:themeShade="1A"/>
          <w:sz w:val="24"/>
          <w:szCs w:val="24"/>
        </w:rPr>
        <w:t xml:space="preserve"> et.al., 1994). And for the resilience test we used the Brief Resilience Scale (BRS; Smith et al., 2008) is a six-item questionnaire that measures the ability to bounce back from stress.</w:t>
      </w:r>
    </w:p>
    <w:p w14:paraId="395418A9"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I hypothesized that optimism and resilience would have a direct relationship; that the increase in optimism would predict the increase in resilience. The result findings in the Pearson correlation showed a significant positive correlation and supported my hypothesis.</w:t>
      </w:r>
    </w:p>
    <w:p w14:paraId="6A42D44C"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I hypothesized that individuals with a higher level of optimism would score higher in females than males or others. The results findings were surprising for me on this one and found that the higher level of optimism was higher in males. I always thought females would score higher on the optimism scale.</w:t>
      </w:r>
    </w:p>
    <w:p w14:paraId="20D75DB3"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Also, I hypothesized that individuals with a higher level of resilience would score higher in females than males or others. The results findings were accurate on this one supporting my hypothesis.</w:t>
      </w:r>
    </w:p>
    <w:p w14:paraId="013259B3"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 xml:space="preserve">I found a research article from Pathak &amp; </w:t>
      </w:r>
      <w:proofErr w:type="spellStart"/>
      <w:r w:rsidRPr="00226420">
        <w:rPr>
          <w:rFonts w:ascii="Times New Roman" w:hAnsi="Times New Roman" w:cs="Times New Roman"/>
          <w:color w:val="1A1A1A" w:themeColor="background1" w:themeShade="1A"/>
          <w:sz w:val="24"/>
          <w:szCs w:val="24"/>
        </w:rPr>
        <w:t>Lata</w:t>
      </w:r>
      <w:proofErr w:type="spellEnd"/>
      <w:r w:rsidRPr="00226420">
        <w:rPr>
          <w:rFonts w:ascii="Times New Roman" w:hAnsi="Times New Roman" w:cs="Times New Roman"/>
          <w:color w:val="1A1A1A" w:themeColor="background1" w:themeShade="1A"/>
          <w:sz w:val="24"/>
          <w:szCs w:val="24"/>
        </w:rPr>
        <w:t xml:space="preserve"> (2018) where they also had conducted research in the relationship between optimism, resilience and perceived stress. In their research they found that there were insignificant gender differences between optimism and perceived stress but significant gender differences in resilience. They also found a significant positive correlation between optimism and resilience.</w:t>
      </w:r>
    </w:p>
    <w:p w14:paraId="03A7C7F3"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Some of the weaknesses of this research were that the research was limited to a certain age group, in future research we could include more variety of age participants.</w:t>
      </w:r>
    </w:p>
    <w:p w14:paraId="56AE774A"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I believe if I could have a have a more in-depth research, I would have offered more surveys to collect more data for the research. And I would collect more participants, we had a lot of female participants, I would have liked a more even number of males and other participants.</w:t>
      </w:r>
    </w:p>
    <w:p w14:paraId="7E233830"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 </w:t>
      </w:r>
    </w:p>
    <w:p w14:paraId="282F9661"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 xml:space="preserve">Pathak, R., &amp; </w:t>
      </w:r>
      <w:proofErr w:type="spellStart"/>
      <w:r w:rsidRPr="00226420">
        <w:rPr>
          <w:rFonts w:ascii="Times New Roman" w:hAnsi="Times New Roman" w:cs="Times New Roman"/>
          <w:color w:val="1A1A1A" w:themeColor="background1" w:themeShade="1A"/>
          <w:sz w:val="24"/>
          <w:szCs w:val="24"/>
        </w:rPr>
        <w:t>Lata</w:t>
      </w:r>
      <w:proofErr w:type="spellEnd"/>
      <w:r w:rsidRPr="00226420">
        <w:rPr>
          <w:rFonts w:ascii="Times New Roman" w:hAnsi="Times New Roman" w:cs="Times New Roman"/>
          <w:color w:val="1A1A1A" w:themeColor="background1" w:themeShade="1A"/>
          <w:sz w:val="24"/>
          <w:szCs w:val="24"/>
        </w:rPr>
        <w:t>, S. (2018). Optimism in Relation to Resilience and Perceived Stress. </w:t>
      </w:r>
      <w:r w:rsidRPr="00226420">
        <w:rPr>
          <w:rFonts w:ascii="Times New Roman" w:hAnsi="Times New Roman" w:cs="Times New Roman"/>
          <w:i/>
          <w:iCs/>
          <w:color w:val="1A1A1A" w:themeColor="background1" w:themeShade="1A"/>
          <w:sz w:val="24"/>
          <w:szCs w:val="24"/>
        </w:rPr>
        <w:t>Journal of Psychosocial Research</w:t>
      </w:r>
      <w:r w:rsidRPr="00226420">
        <w:rPr>
          <w:rFonts w:ascii="Times New Roman" w:hAnsi="Times New Roman" w:cs="Times New Roman"/>
          <w:color w:val="1A1A1A" w:themeColor="background1" w:themeShade="1A"/>
          <w:sz w:val="24"/>
          <w:szCs w:val="24"/>
        </w:rPr>
        <w:t>, </w:t>
      </w:r>
      <w:r w:rsidRPr="00226420">
        <w:rPr>
          <w:rFonts w:ascii="Times New Roman" w:hAnsi="Times New Roman" w:cs="Times New Roman"/>
          <w:i/>
          <w:iCs/>
          <w:color w:val="1A1A1A" w:themeColor="background1" w:themeShade="1A"/>
          <w:sz w:val="24"/>
          <w:szCs w:val="24"/>
        </w:rPr>
        <w:t>13</w:t>
      </w:r>
      <w:r w:rsidRPr="00226420">
        <w:rPr>
          <w:rFonts w:ascii="Times New Roman" w:hAnsi="Times New Roman" w:cs="Times New Roman"/>
          <w:color w:val="1A1A1A" w:themeColor="background1" w:themeShade="1A"/>
          <w:sz w:val="24"/>
          <w:szCs w:val="24"/>
        </w:rPr>
        <w:t>(2), 359–367. https://doi.org/10.32381/JPR.2018.13.02.10</w:t>
      </w:r>
    </w:p>
    <w:p w14:paraId="44A8D457"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proofErr w:type="spellStart"/>
      <w:r w:rsidRPr="00226420">
        <w:rPr>
          <w:rFonts w:ascii="Times New Roman" w:hAnsi="Times New Roman" w:cs="Times New Roman"/>
          <w:color w:val="1A1A1A" w:themeColor="background1" w:themeShade="1A"/>
          <w:sz w:val="24"/>
          <w:szCs w:val="24"/>
        </w:rPr>
        <w:t>Scheier</w:t>
      </w:r>
      <w:proofErr w:type="spellEnd"/>
      <w:r w:rsidRPr="00226420">
        <w:rPr>
          <w:rFonts w:ascii="Times New Roman" w:hAnsi="Times New Roman" w:cs="Times New Roman"/>
          <w:color w:val="1A1A1A" w:themeColor="background1" w:themeShade="1A"/>
          <w:sz w:val="24"/>
          <w:szCs w:val="24"/>
        </w:rPr>
        <w:t>, M.E, Carver CS., and Bridges, M.W. (1994). Distinguishing optimism from neuroticism (and trait anxiety, self-mastery, and self-esteem): A re-evaluation of the Life Orientation Test </w:t>
      </w:r>
      <w:r w:rsidRPr="00226420">
        <w:rPr>
          <w:rFonts w:ascii="Times New Roman" w:hAnsi="Times New Roman" w:cs="Times New Roman"/>
          <w:i/>
          <w:iCs/>
          <w:color w:val="1A1A1A" w:themeColor="background1" w:themeShade="1A"/>
          <w:sz w:val="24"/>
          <w:szCs w:val="24"/>
        </w:rPr>
        <w:t>Journal of Personality and Social Psychology,</w:t>
      </w:r>
      <w:r w:rsidRPr="00226420">
        <w:rPr>
          <w:rFonts w:ascii="Times New Roman" w:hAnsi="Times New Roman" w:cs="Times New Roman"/>
          <w:color w:val="1A1A1A" w:themeColor="background1" w:themeShade="1A"/>
          <w:sz w:val="24"/>
          <w:szCs w:val="24"/>
        </w:rPr>
        <w:t> 67, 1063-1078.</w:t>
      </w:r>
    </w:p>
    <w:p w14:paraId="1BE6E3ED" w14:textId="77777777" w:rsidR="00226420" w:rsidRPr="00226420" w:rsidRDefault="00226420" w:rsidP="00226420">
      <w:pPr>
        <w:bidi w:val="0"/>
        <w:spacing w:before="100" w:beforeAutospacing="1" w:after="100" w:afterAutospacing="1"/>
        <w:divId w:val="1875147460"/>
        <w:rPr>
          <w:rFonts w:ascii="Times New Roman" w:hAnsi="Times New Roman" w:cs="Times New Roman"/>
          <w:color w:val="1A1A1A" w:themeColor="background1" w:themeShade="1A"/>
          <w:sz w:val="24"/>
          <w:szCs w:val="24"/>
        </w:rPr>
      </w:pPr>
      <w:r w:rsidRPr="00226420">
        <w:rPr>
          <w:rFonts w:ascii="Times New Roman" w:hAnsi="Times New Roman" w:cs="Times New Roman"/>
          <w:color w:val="1A1A1A" w:themeColor="background1" w:themeShade="1A"/>
          <w:sz w:val="24"/>
          <w:szCs w:val="24"/>
        </w:rPr>
        <w:t xml:space="preserve">Smith, B. W., </w:t>
      </w:r>
      <w:proofErr w:type="spellStart"/>
      <w:r w:rsidRPr="00226420">
        <w:rPr>
          <w:rFonts w:ascii="Times New Roman" w:hAnsi="Times New Roman" w:cs="Times New Roman"/>
          <w:color w:val="1A1A1A" w:themeColor="background1" w:themeShade="1A"/>
          <w:sz w:val="24"/>
          <w:szCs w:val="24"/>
        </w:rPr>
        <w:t>Dalen</w:t>
      </w:r>
      <w:proofErr w:type="spellEnd"/>
      <w:r w:rsidRPr="00226420">
        <w:rPr>
          <w:rFonts w:ascii="Times New Roman" w:hAnsi="Times New Roman" w:cs="Times New Roman"/>
          <w:color w:val="1A1A1A" w:themeColor="background1" w:themeShade="1A"/>
          <w:sz w:val="24"/>
          <w:szCs w:val="24"/>
        </w:rPr>
        <w:t xml:space="preserve">, J., Wiggins, K., </w:t>
      </w:r>
      <w:proofErr w:type="spellStart"/>
      <w:r w:rsidRPr="00226420">
        <w:rPr>
          <w:rFonts w:ascii="Times New Roman" w:hAnsi="Times New Roman" w:cs="Times New Roman"/>
          <w:color w:val="1A1A1A" w:themeColor="background1" w:themeShade="1A"/>
          <w:sz w:val="24"/>
          <w:szCs w:val="24"/>
        </w:rPr>
        <w:t>Tooley</w:t>
      </w:r>
      <w:proofErr w:type="spellEnd"/>
      <w:r w:rsidRPr="00226420">
        <w:rPr>
          <w:rFonts w:ascii="Times New Roman" w:hAnsi="Times New Roman" w:cs="Times New Roman"/>
          <w:color w:val="1A1A1A" w:themeColor="background1" w:themeShade="1A"/>
          <w:sz w:val="24"/>
          <w:szCs w:val="24"/>
        </w:rPr>
        <w:t>, E., Christopher, P., &amp; Bernard, J. (2008). The Brief Resilience Scale: Assessing the ability to bounce back</w:t>
      </w:r>
      <w:r w:rsidRPr="00226420">
        <w:rPr>
          <w:rFonts w:ascii="Times New Roman" w:hAnsi="Times New Roman" w:cs="Times New Roman"/>
          <w:i/>
          <w:iCs/>
          <w:color w:val="1A1A1A" w:themeColor="background1" w:themeShade="1A"/>
          <w:sz w:val="24"/>
          <w:szCs w:val="24"/>
        </w:rPr>
        <w:t xml:space="preserve">. </w:t>
      </w:r>
      <w:r w:rsidRPr="00226420">
        <w:rPr>
          <w:rFonts w:ascii="Times New Roman" w:hAnsi="Times New Roman" w:cs="Times New Roman"/>
          <w:i/>
          <w:iCs/>
          <w:color w:val="1A1A1A" w:themeColor="background1" w:themeShade="1A"/>
          <w:sz w:val="24"/>
          <w:szCs w:val="24"/>
        </w:rPr>
        <w:lastRenderedPageBreak/>
        <w:t>International Journal of Behavioral Medicine</w:t>
      </w:r>
      <w:r w:rsidRPr="00226420">
        <w:rPr>
          <w:rFonts w:ascii="Times New Roman" w:hAnsi="Times New Roman" w:cs="Times New Roman"/>
          <w:color w:val="1A1A1A" w:themeColor="background1" w:themeShade="1A"/>
          <w:sz w:val="24"/>
          <w:szCs w:val="24"/>
        </w:rPr>
        <w:t>, 15(3), 194-200. https://doi.org/10.1080/10705500802222972</w:t>
      </w:r>
    </w:p>
    <w:p w14:paraId="03C2B82B" w14:textId="77777777" w:rsidR="0082176A" w:rsidRPr="00380989" w:rsidRDefault="0025453F" w:rsidP="002A0116">
      <w:pPr>
        <w:jc w:val="right"/>
        <w:rPr>
          <w:rFonts w:asciiTheme="majorBidi" w:hAnsiTheme="majorBidi" w:cstheme="majorBidi"/>
          <w:b/>
          <w:bCs/>
          <w:color w:val="1A1A1A" w:themeColor="background1" w:themeShade="1A"/>
          <w:sz w:val="24"/>
          <w:szCs w:val="24"/>
          <w:rtl/>
        </w:rPr>
      </w:pPr>
      <w:r w:rsidRPr="00380989">
        <w:rPr>
          <w:rFonts w:asciiTheme="majorBidi" w:hAnsiTheme="majorBidi" w:cstheme="majorBidi" w:hint="cs"/>
          <w:b/>
          <w:bCs/>
          <w:color w:val="1A1A1A" w:themeColor="background1" w:themeShade="1A"/>
          <w:sz w:val="24"/>
          <w:szCs w:val="24"/>
          <w:rtl/>
        </w:rPr>
        <w:t>Second peer post</w:t>
      </w:r>
    </w:p>
    <w:p w14:paraId="601FFE85"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In my study, I explored the potential relationship between an individual's gender identity and their reported levels of self-esteem and optimism. To determine a participant's level of self-esteem, the Rosenberg Self-Esteem Scale (RSES; </w:t>
      </w:r>
      <w:proofErr w:type="spellStart"/>
      <w:r w:rsidRPr="00236AE5">
        <w:rPr>
          <w:rFonts w:ascii="Times New Roman" w:hAnsi="Times New Roman" w:cs="Times New Roman"/>
          <w:color w:val="1A1A1A" w:themeColor="background1" w:themeShade="1A"/>
          <w:sz w:val="24"/>
          <w:szCs w:val="24"/>
        </w:rPr>
        <w:t>Kiełkiewicz</w:t>
      </w:r>
      <w:proofErr w:type="spellEnd"/>
      <w:r w:rsidRPr="00236AE5">
        <w:rPr>
          <w:rFonts w:ascii="Times New Roman" w:hAnsi="Times New Roman" w:cs="Times New Roman"/>
          <w:color w:val="1A1A1A" w:themeColor="background1" w:themeShade="1A"/>
          <w:sz w:val="24"/>
          <w:szCs w:val="24"/>
        </w:rPr>
        <w:t xml:space="preserve"> et al., 2020) was used. To determine an individual's level of optimism, the Revised Life Orientation Test (LOT-R; </w:t>
      </w:r>
      <w:proofErr w:type="spellStart"/>
      <w:r w:rsidRPr="00236AE5">
        <w:rPr>
          <w:rFonts w:ascii="Times New Roman" w:hAnsi="Times New Roman" w:cs="Times New Roman"/>
          <w:color w:val="1A1A1A" w:themeColor="background1" w:themeShade="1A"/>
          <w:sz w:val="24"/>
          <w:szCs w:val="24"/>
        </w:rPr>
        <w:t>Monzani</w:t>
      </w:r>
      <w:proofErr w:type="spellEnd"/>
      <w:r w:rsidRPr="00236AE5">
        <w:rPr>
          <w:rFonts w:ascii="Times New Roman" w:hAnsi="Times New Roman" w:cs="Times New Roman"/>
          <w:color w:val="1A1A1A" w:themeColor="background1" w:themeShade="1A"/>
          <w:sz w:val="24"/>
          <w:szCs w:val="24"/>
        </w:rPr>
        <w:t xml:space="preserve"> et al., 2014). </w:t>
      </w:r>
    </w:p>
    <w:p w14:paraId="4674174C"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My first hypothesis predicted that individuals who reported higher levels of self-esteem would also report higher levels of optimism. The results of the study showed a strong positive correlation between self-esteem levels and optimism levels, which supported my hypothesis.  </w:t>
      </w:r>
    </w:p>
    <w:p w14:paraId="6EAE966C"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My second hypothesis predicted that self-esteem would be lower for individuals who self-classified their gender identity as female (cis or trans), or non-binary persons, than it would be for those who self-classified their gender as male (cis or trans). Results of the study supported this hypothesis, with male participants in the study reporting an average self-esteem level of 29.83, versus the female participant's average of 28.22 and the non-binary participant's average of 24.33. This difference between all three groups was found to be statistically significant.</w:t>
      </w:r>
    </w:p>
    <w:p w14:paraId="3ACDA8F1"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My third hypothesis predicted that women would have higher levels of optimism than non-binary people, who would have higher levels of optimism than men. This was not supported by the study results. While women scored higher on the optimism scale than non-binary individuals, post hoc t-tests showed that men had the highest optimism score among the three participant groups. </w:t>
      </w:r>
    </w:p>
    <w:p w14:paraId="7ED6FB31"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In future follow up studies, it may be prudent for the researchers to employ a larger sample size. The sample size for this study consisted of less than 250 participants-- most of them female-- thus making it more difficult to find results that are representative of the population. </w:t>
      </w:r>
    </w:p>
    <w:p w14:paraId="186F783F"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r w:rsidRPr="00236AE5">
        <w:rPr>
          <w:rFonts w:ascii="Times New Roman" w:hAnsi="Times New Roman" w:cs="Times New Roman"/>
          <w:color w:val="1A1A1A" w:themeColor="background1" w:themeShade="1A"/>
          <w:sz w:val="24"/>
          <w:szCs w:val="24"/>
        </w:rPr>
        <w:t xml:space="preserve">This study also offered only three different gender identity categories: male, female, and non-binary. This does not account for possible differences in self-esteem and optimism for transgendered men and women, as well as genderqueer, </w:t>
      </w:r>
      <w:proofErr w:type="spellStart"/>
      <w:r w:rsidRPr="00236AE5">
        <w:rPr>
          <w:rFonts w:ascii="Times New Roman" w:hAnsi="Times New Roman" w:cs="Times New Roman"/>
          <w:color w:val="1A1A1A" w:themeColor="background1" w:themeShade="1A"/>
          <w:sz w:val="24"/>
          <w:szCs w:val="24"/>
        </w:rPr>
        <w:t>agender</w:t>
      </w:r>
      <w:proofErr w:type="spellEnd"/>
      <w:r w:rsidRPr="00236AE5">
        <w:rPr>
          <w:rFonts w:ascii="Times New Roman" w:hAnsi="Times New Roman" w:cs="Times New Roman"/>
          <w:color w:val="1A1A1A" w:themeColor="background1" w:themeShade="1A"/>
          <w:sz w:val="24"/>
          <w:szCs w:val="24"/>
        </w:rPr>
        <w:t>, or other non-binary gender identities. Listing more gender identities in future studies may prove to more accurately represent the general population.  </w:t>
      </w:r>
    </w:p>
    <w:p w14:paraId="0764BCAA" w14:textId="77777777" w:rsidR="00236AE5" w:rsidRPr="00236AE5"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proofErr w:type="spellStart"/>
      <w:r w:rsidRPr="00236AE5">
        <w:rPr>
          <w:rFonts w:ascii="Times New Roman" w:hAnsi="Times New Roman" w:cs="Times New Roman"/>
          <w:color w:val="1A1A1A" w:themeColor="background1" w:themeShade="1A"/>
          <w:sz w:val="24"/>
          <w:szCs w:val="24"/>
        </w:rPr>
        <w:t>Monzani</w:t>
      </w:r>
      <w:proofErr w:type="spellEnd"/>
      <w:r w:rsidRPr="00236AE5">
        <w:rPr>
          <w:rFonts w:ascii="Times New Roman" w:hAnsi="Times New Roman" w:cs="Times New Roman"/>
          <w:color w:val="1A1A1A" w:themeColor="background1" w:themeShade="1A"/>
          <w:sz w:val="24"/>
          <w:szCs w:val="24"/>
        </w:rPr>
        <w:t xml:space="preserve">, D., </w:t>
      </w:r>
      <w:proofErr w:type="spellStart"/>
      <w:r w:rsidRPr="00236AE5">
        <w:rPr>
          <w:rFonts w:ascii="Times New Roman" w:hAnsi="Times New Roman" w:cs="Times New Roman"/>
          <w:color w:val="1A1A1A" w:themeColor="background1" w:themeShade="1A"/>
          <w:sz w:val="24"/>
          <w:szCs w:val="24"/>
        </w:rPr>
        <w:t>Steca</w:t>
      </w:r>
      <w:proofErr w:type="spellEnd"/>
      <w:r w:rsidRPr="00236AE5">
        <w:rPr>
          <w:rFonts w:ascii="Times New Roman" w:hAnsi="Times New Roman" w:cs="Times New Roman"/>
          <w:color w:val="1A1A1A" w:themeColor="background1" w:themeShade="1A"/>
          <w:sz w:val="24"/>
          <w:szCs w:val="24"/>
        </w:rPr>
        <w:t>, P., &amp; Greco, A. (2014). Brief report: Assessing dispositional optimism in adolescence – Factor structure and concurrent validity of the Life Orientation Test – Revised. </w:t>
      </w:r>
      <w:r w:rsidRPr="00236AE5">
        <w:rPr>
          <w:rFonts w:ascii="Times New Roman" w:hAnsi="Times New Roman" w:cs="Times New Roman"/>
          <w:i/>
          <w:iCs/>
          <w:color w:val="1A1A1A" w:themeColor="background1" w:themeShade="1A"/>
          <w:sz w:val="24"/>
          <w:szCs w:val="24"/>
        </w:rPr>
        <w:t>Journal of Adolescence</w:t>
      </w:r>
      <w:r w:rsidRPr="00236AE5">
        <w:rPr>
          <w:rFonts w:ascii="Times New Roman" w:hAnsi="Times New Roman" w:cs="Times New Roman"/>
          <w:color w:val="1A1A1A" w:themeColor="background1" w:themeShade="1A"/>
          <w:sz w:val="24"/>
          <w:szCs w:val="24"/>
        </w:rPr>
        <w:t>, </w:t>
      </w:r>
      <w:r w:rsidRPr="00236AE5">
        <w:rPr>
          <w:rFonts w:ascii="Times New Roman" w:hAnsi="Times New Roman" w:cs="Times New Roman"/>
          <w:i/>
          <w:iCs/>
          <w:color w:val="1A1A1A" w:themeColor="background1" w:themeShade="1A"/>
          <w:sz w:val="24"/>
          <w:szCs w:val="24"/>
        </w:rPr>
        <w:t>37</w:t>
      </w:r>
      <w:r w:rsidRPr="00236AE5">
        <w:rPr>
          <w:rFonts w:ascii="Times New Roman" w:hAnsi="Times New Roman" w:cs="Times New Roman"/>
          <w:color w:val="1A1A1A" w:themeColor="background1" w:themeShade="1A"/>
          <w:sz w:val="24"/>
          <w:szCs w:val="24"/>
        </w:rPr>
        <w:t>(2), 97-101.  </w:t>
      </w:r>
      <w:hyperlink r:id="rId5" w:history="1">
        <w:r w:rsidRPr="00236AE5">
          <w:rPr>
            <w:rFonts w:ascii="Times New Roman" w:hAnsi="Times New Roman" w:cs="Times New Roman"/>
            <w:color w:val="1A1A1A" w:themeColor="background1" w:themeShade="1A"/>
            <w:sz w:val="24"/>
            <w:szCs w:val="24"/>
            <w:u w:val="single"/>
          </w:rPr>
          <w:t>https://doi.org/10.1016/j.adolescence.2013.11.006</w:t>
        </w:r>
      </w:hyperlink>
    </w:p>
    <w:p w14:paraId="3EA68CF1" w14:textId="77777777" w:rsidR="00236AE5" w:rsidRPr="00380989" w:rsidRDefault="00236AE5" w:rsidP="00236AE5">
      <w:pPr>
        <w:bidi w:val="0"/>
        <w:spacing w:before="100" w:beforeAutospacing="1" w:after="100" w:afterAutospacing="1"/>
        <w:divId w:val="314066939"/>
        <w:rPr>
          <w:rFonts w:ascii="Times New Roman" w:hAnsi="Times New Roman" w:cs="Times New Roman"/>
          <w:color w:val="1A1A1A" w:themeColor="background1" w:themeShade="1A"/>
          <w:sz w:val="24"/>
          <w:szCs w:val="24"/>
        </w:rPr>
      </w:pPr>
      <w:proofErr w:type="spellStart"/>
      <w:r w:rsidRPr="00236AE5">
        <w:rPr>
          <w:rFonts w:ascii="Times New Roman" w:hAnsi="Times New Roman" w:cs="Times New Roman"/>
          <w:color w:val="1A1A1A" w:themeColor="background1" w:themeShade="1A"/>
          <w:sz w:val="24"/>
          <w:szCs w:val="24"/>
        </w:rPr>
        <w:t>Kiełkiewicz</w:t>
      </w:r>
      <w:proofErr w:type="spellEnd"/>
      <w:r w:rsidRPr="00236AE5">
        <w:rPr>
          <w:rFonts w:ascii="Times New Roman" w:hAnsi="Times New Roman" w:cs="Times New Roman"/>
          <w:color w:val="1A1A1A" w:themeColor="background1" w:themeShade="1A"/>
          <w:sz w:val="24"/>
          <w:szCs w:val="24"/>
        </w:rPr>
        <w:t xml:space="preserve">, K., </w:t>
      </w:r>
      <w:proofErr w:type="spellStart"/>
      <w:r w:rsidRPr="00236AE5">
        <w:rPr>
          <w:rFonts w:ascii="Times New Roman" w:hAnsi="Times New Roman" w:cs="Times New Roman"/>
          <w:color w:val="1A1A1A" w:themeColor="background1" w:themeShade="1A"/>
          <w:sz w:val="24"/>
          <w:szCs w:val="24"/>
        </w:rPr>
        <w:t>Mathúna</w:t>
      </w:r>
      <w:proofErr w:type="spellEnd"/>
      <w:r w:rsidRPr="00236AE5">
        <w:rPr>
          <w:rFonts w:ascii="Times New Roman" w:hAnsi="Times New Roman" w:cs="Times New Roman"/>
          <w:color w:val="1A1A1A" w:themeColor="background1" w:themeShade="1A"/>
          <w:sz w:val="24"/>
          <w:szCs w:val="24"/>
        </w:rPr>
        <w:t>, C. Ó., &amp; McLaughlin, C. (2020). Construct validity and dimensionality of the Rosenberg Self-Esteem Scale and its association with spiritual values within Irish population. </w:t>
      </w:r>
      <w:r w:rsidRPr="00236AE5">
        <w:rPr>
          <w:rFonts w:ascii="Times New Roman" w:hAnsi="Times New Roman" w:cs="Times New Roman"/>
          <w:i/>
          <w:iCs/>
          <w:color w:val="1A1A1A" w:themeColor="background1" w:themeShade="1A"/>
          <w:sz w:val="24"/>
          <w:szCs w:val="24"/>
        </w:rPr>
        <w:t>Journal of Religion &amp; Health</w:t>
      </w:r>
      <w:r w:rsidRPr="00236AE5">
        <w:rPr>
          <w:rFonts w:ascii="Times New Roman" w:hAnsi="Times New Roman" w:cs="Times New Roman"/>
          <w:color w:val="1A1A1A" w:themeColor="background1" w:themeShade="1A"/>
          <w:sz w:val="24"/>
          <w:szCs w:val="24"/>
        </w:rPr>
        <w:t>, </w:t>
      </w:r>
      <w:r w:rsidRPr="00236AE5">
        <w:rPr>
          <w:rFonts w:ascii="Times New Roman" w:hAnsi="Times New Roman" w:cs="Times New Roman"/>
          <w:i/>
          <w:iCs/>
          <w:color w:val="1A1A1A" w:themeColor="background1" w:themeShade="1A"/>
          <w:sz w:val="24"/>
          <w:szCs w:val="24"/>
        </w:rPr>
        <w:t>59</w:t>
      </w:r>
      <w:r w:rsidRPr="00236AE5">
        <w:rPr>
          <w:rFonts w:ascii="Times New Roman" w:hAnsi="Times New Roman" w:cs="Times New Roman"/>
          <w:color w:val="1A1A1A" w:themeColor="background1" w:themeShade="1A"/>
          <w:sz w:val="24"/>
          <w:szCs w:val="24"/>
        </w:rPr>
        <w:t>(1), 381–398. </w:t>
      </w:r>
      <w:hyperlink r:id="rId6" w:history="1">
        <w:r w:rsidRPr="00236AE5">
          <w:rPr>
            <w:rFonts w:ascii="Times New Roman" w:hAnsi="Times New Roman" w:cs="Times New Roman"/>
            <w:color w:val="1A1A1A" w:themeColor="background1" w:themeShade="1A"/>
            <w:sz w:val="24"/>
            <w:szCs w:val="24"/>
            <w:u w:val="single"/>
          </w:rPr>
          <w:t>https://doi.org/10.1007/s10943-019-00821-x</w:t>
        </w:r>
      </w:hyperlink>
    </w:p>
    <w:p w14:paraId="1679C275" w14:textId="77777777" w:rsidR="000E0E1A" w:rsidRPr="00236AE5" w:rsidRDefault="000E0E1A" w:rsidP="000E0E1A">
      <w:pPr>
        <w:bidi w:val="0"/>
        <w:spacing w:before="100" w:beforeAutospacing="1" w:after="100" w:afterAutospacing="1"/>
        <w:divId w:val="314066939"/>
        <w:rPr>
          <w:rFonts w:ascii="Times New Roman" w:hAnsi="Times New Roman" w:cs="Times New Roman"/>
          <w:b/>
          <w:bCs/>
          <w:color w:val="1A1A1A" w:themeColor="background1" w:themeShade="1A"/>
          <w:sz w:val="24"/>
          <w:szCs w:val="24"/>
        </w:rPr>
      </w:pPr>
      <w:r w:rsidRPr="00380989">
        <w:rPr>
          <w:rFonts w:ascii="Times New Roman" w:hAnsi="Times New Roman" w:cs="Times New Roman"/>
          <w:b/>
          <w:bCs/>
          <w:color w:val="1A1A1A" w:themeColor="background1" w:themeShade="1A"/>
          <w:sz w:val="24"/>
          <w:szCs w:val="24"/>
        </w:rPr>
        <w:lastRenderedPageBreak/>
        <w:t xml:space="preserve">Third peer post </w:t>
      </w:r>
    </w:p>
    <w:p w14:paraId="5825D23A"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I may have mentioned that I've been doing this project for quite some time and that there appear to be some changes occurring in the data that may be due to the pandemic.</w:t>
      </w:r>
    </w:p>
    <w:p w14:paraId="3DFEDF1A"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I've done some initial number crunching, looking just at the data from the DASS-21 (</w:t>
      </w:r>
      <w:r w:rsidRPr="007E5EC6">
        <w:rPr>
          <w:rFonts w:ascii="system-ui" w:hAnsi="system-ui" w:cs="Times New Roman"/>
          <w:i/>
          <w:iCs/>
          <w:color w:val="1A1A1A" w:themeColor="background1" w:themeShade="1A"/>
          <w:sz w:val="24"/>
          <w:szCs w:val="24"/>
        </w:rPr>
        <w:t>anxiety</w:t>
      </w:r>
      <w:r w:rsidRPr="007E5EC6">
        <w:rPr>
          <w:rFonts w:ascii="system-ui" w:hAnsi="system-ui" w:cs="Times New Roman"/>
          <w:color w:val="1A1A1A" w:themeColor="background1" w:themeShade="1A"/>
          <w:sz w:val="24"/>
          <w:szCs w:val="24"/>
        </w:rPr>
        <w:t>, </w:t>
      </w:r>
      <w:r w:rsidRPr="007E5EC6">
        <w:rPr>
          <w:rFonts w:ascii="system-ui" w:hAnsi="system-ui" w:cs="Times New Roman"/>
          <w:i/>
          <w:iCs/>
          <w:color w:val="1A1A1A" w:themeColor="background1" w:themeShade="1A"/>
          <w:sz w:val="24"/>
          <w:szCs w:val="24"/>
        </w:rPr>
        <w:t>depression</w:t>
      </w:r>
      <w:r w:rsidRPr="007E5EC6">
        <w:rPr>
          <w:rFonts w:ascii="system-ui" w:hAnsi="system-ui" w:cs="Times New Roman"/>
          <w:color w:val="1A1A1A" w:themeColor="background1" w:themeShade="1A"/>
          <w:sz w:val="24"/>
          <w:szCs w:val="24"/>
        </w:rPr>
        <w:t>, </w:t>
      </w:r>
      <w:r w:rsidRPr="007E5EC6">
        <w:rPr>
          <w:rFonts w:ascii="system-ui" w:hAnsi="system-ui" w:cs="Times New Roman"/>
          <w:i/>
          <w:iCs/>
          <w:color w:val="1A1A1A" w:themeColor="background1" w:themeShade="1A"/>
          <w:sz w:val="24"/>
          <w:szCs w:val="24"/>
        </w:rPr>
        <w:t>stress</w:t>
      </w:r>
      <w:r w:rsidRPr="007E5EC6">
        <w:rPr>
          <w:rFonts w:ascii="system-ui" w:hAnsi="system-ui" w:cs="Times New Roman"/>
          <w:color w:val="1A1A1A" w:themeColor="background1" w:themeShade="1A"/>
          <w:sz w:val="24"/>
          <w:szCs w:val="24"/>
        </w:rPr>
        <w:t>) over the last six semesters (including the summers of 2020 &amp; 2021). I thought I would share the findings I've seen so far. Eventually I'll look at the other variables and potentially also include age, sex, or gender... but that will take some time and our class will be over by then.</w:t>
      </w:r>
    </w:p>
    <w:p w14:paraId="75C1AEBA"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First, a caveat regarding interpreting these data: while the DASS-21 uses the same basic scale for each of the three variables it measures (ranging from 7 - 28 each, with a higher number reflecting more </w:t>
      </w:r>
      <w:r w:rsidRPr="007E5EC6">
        <w:rPr>
          <w:rFonts w:ascii="system-ui" w:hAnsi="system-ui" w:cs="Times New Roman"/>
          <w:i/>
          <w:iCs/>
          <w:color w:val="1A1A1A" w:themeColor="background1" w:themeShade="1A"/>
          <w:sz w:val="24"/>
          <w:szCs w:val="24"/>
        </w:rPr>
        <w:t>anxiety</w:t>
      </w:r>
      <w:r w:rsidRPr="007E5EC6">
        <w:rPr>
          <w:rFonts w:ascii="system-ui" w:hAnsi="system-ui" w:cs="Times New Roman"/>
          <w:color w:val="1A1A1A" w:themeColor="background1" w:themeShade="1A"/>
          <w:sz w:val="24"/>
          <w:szCs w:val="24"/>
        </w:rPr>
        <w:t>, more </w:t>
      </w:r>
      <w:r w:rsidRPr="007E5EC6">
        <w:rPr>
          <w:rFonts w:ascii="system-ui" w:hAnsi="system-ui" w:cs="Times New Roman"/>
          <w:i/>
          <w:iCs/>
          <w:color w:val="1A1A1A" w:themeColor="background1" w:themeShade="1A"/>
          <w:sz w:val="24"/>
          <w:szCs w:val="24"/>
        </w:rPr>
        <w:t>depression</w:t>
      </w:r>
      <w:r w:rsidRPr="007E5EC6">
        <w:rPr>
          <w:rFonts w:ascii="system-ui" w:hAnsi="system-ui" w:cs="Times New Roman"/>
          <w:color w:val="1A1A1A" w:themeColor="background1" w:themeShade="1A"/>
          <w:sz w:val="24"/>
          <w:szCs w:val="24"/>
        </w:rPr>
        <w:t>, or more </w:t>
      </w:r>
      <w:r w:rsidRPr="007E5EC6">
        <w:rPr>
          <w:rFonts w:ascii="system-ui" w:hAnsi="system-ui" w:cs="Times New Roman"/>
          <w:i/>
          <w:iCs/>
          <w:color w:val="1A1A1A" w:themeColor="background1" w:themeShade="1A"/>
          <w:sz w:val="24"/>
          <w:szCs w:val="24"/>
        </w:rPr>
        <w:t>stress</w:t>
      </w:r>
      <w:r w:rsidRPr="007E5EC6">
        <w:rPr>
          <w:rFonts w:ascii="system-ui" w:hAnsi="system-ui" w:cs="Times New Roman"/>
          <w:color w:val="1A1A1A" w:themeColor="background1" w:themeShade="1A"/>
          <w:sz w:val="24"/>
          <w:szCs w:val="24"/>
        </w:rPr>
        <w:t>), I want you to be clear: the three scales are not necessarily related to each other. That is, a score of 12 on the </w:t>
      </w:r>
      <w:r w:rsidRPr="007E5EC6">
        <w:rPr>
          <w:rFonts w:ascii="system-ui" w:hAnsi="system-ui" w:cs="Times New Roman"/>
          <w:i/>
          <w:iCs/>
          <w:color w:val="1A1A1A" w:themeColor="background1" w:themeShade="1A"/>
          <w:sz w:val="24"/>
          <w:szCs w:val="24"/>
        </w:rPr>
        <w:t>anxiety</w:t>
      </w:r>
      <w:r w:rsidRPr="007E5EC6">
        <w:rPr>
          <w:rFonts w:ascii="system-ui" w:hAnsi="system-ui" w:cs="Times New Roman"/>
          <w:color w:val="1A1A1A" w:themeColor="background1" w:themeShade="1A"/>
          <w:sz w:val="24"/>
          <w:szCs w:val="24"/>
        </w:rPr>
        <w:t> </w:t>
      </w:r>
      <w:proofErr w:type="spellStart"/>
      <w:r w:rsidRPr="007E5EC6">
        <w:rPr>
          <w:rFonts w:ascii="system-ui" w:hAnsi="system-ui" w:cs="Times New Roman"/>
          <w:color w:val="1A1A1A" w:themeColor="background1" w:themeShade="1A"/>
          <w:sz w:val="24"/>
          <w:szCs w:val="24"/>
        </w:rPr>
        <w:t>subscale</w:t>
      </w:r>
      <w:proofErr w:type="spellEnd"/>
      <w:r w:rsidRPr="007E5EC6">
        <w:rPr>
          <w:rFonts w:ascii="system-ui" w:hAnsi="system-ui" w:cs="Times New Roman"/>
          <w:color w:val="1A1A1A" w:themeColor="background1" w:themeShade="1A"/>
          <w:sz w:val="24"/>
          <w:szCs w:val="24"/>
        </w:rPr>
        <w:t xml:space="preserve"> is not directly comparable to a score of 12 on the </w:t>
      </w:r>
      <w:r w:rsidRPr="007E5EC6">
        <w:rPr>
          <w:rFonts w:ascii="system-ui" w:hAnsi="system-ui" w:cs="Times New Roman"/>
          <w:i/>
          <w:iCs/>
          <w:color w:val="1A1A1A" w:themeColor="background1" w:themeShade="1A"/>
          <w:sz w:val="24"/>
          <w:szCs w:val="24"/>
        </w:rPr>
        <w:t>stress</w:t>
      </w:r>
      <w:r w:rsidRPr="007E5EC6">
        <w:rPr>
          <w:rFonts w:ascii="system-ui" w:hAnsi="system-ui" w:cs="Times New Roman"/>
          <w:color w:val="1A1A1A" w:themeColor="background1" w:themeShade="1A"/>
          <w:sz w:val="24"/>
          <w:szCs w:val="24"/>
        </w:rPr>
        <w:t> </w:t>
      </w:r>
      <w:proofErr w:type="spellStart"/>
      <w:r w:rsidRPr="007E5EC6">
        <w:rPr>
          <w:rFonts w:ascii="system-ui" w:hAnsi="system-ui" w:cs="Times New Roman"/>
          <w:color w:val="1A1A1A" w:themeColor="background1" w:themeShade="1A"/>
          <w:sz w:val="24"/>
          <w:szCs w:val="24"/>
        </w:rPr>
        <w:t>subscale</w:t>
      </w:r>
      <w:proofErr w:type="spellEnd"/>
      <w:r w:rsidRPr="007E5EC6">
        <w:rPr>
          <w:rFonts w:ascii="system-ui" w:hAnsi="system-ui" w:cs="Times New Roman"/>
          <w:color w:val="1A1A1A" w:themeColor="background1" w:themeShade="1A"/>
          <w:sz w:val="24"/>
          <w:szCs w:val="24"/>
        </w:rPr>
        <w:t>. I am placing a chart below with all three metrics in the same chart... this is to reduce the clutter on this post. Each variable's line should be considered by itself. The only comparisons that can be made </w:t>
      </w:r>
      <w:r w:rsidRPr="007E5EC6">
        <w:rPr>
          <w:rFonts w:ascii="system-ui" w:hAnsi="system-ui" w:cs="Times New Roman"/>
          <w:i/>
          <w:iCs/>
          <w:color w:val="1A1A1A" w:themeColor="background1" w:themeShade="1A"/>
          <w:sz w:val="24"/>
          <w:szCs w:val="24"/>
        </w:rPr>
        <w:t>across</w:t>
      </w:r>
      <w:r w:rsidRPr="007E5EC6">
        <w:rPr>
          <w:rFonts w:ascii="system-ui" w:hAnsi="system-ui" w:cs="Times New Roman"/>
          <w:color w:val="1A1A1A" w:themeColor="background1" w:themeShade="1A"/>
          <w:sz w:val="24"/>
          <w:szCs w:val="24"/>
        </w:rPr>
        <w:t> the variables is the general shape or tendency of the lines.</w:t>
      </w:r>
    </w:p>
    <w:p w14:paraId="2258FDF3"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So, this is a chart reflecting the averages for </w:t>
      </w:r>
      <w:r w:rsidRPr="007E5EC6">
        <w:rPr>
          <w:rFonts w:ascii="system-ui" w:hAnsi="system-ui" w:cs="Times New Roman"/>
          <w:i/>
          <w:iCs/>
          <w:color w:val="1A1A1A" w:themeColor="background1" w:themeShade="1A"/>
          <w:sz w:val="24"/>
          <w:szCs w:val="24"/>
        </w:rPr>
        <w:t>anxiety</w:t>
      </w:r>
      <w:r w:rsidRPr="007E5EC6">
        <w:rPr>
          <w:rFonts w:ascii="system-ui" w:hAnsi="system-ui" w:cs="Times New Roman"/>
          <w:color w:val="1A1A1A" w:themeColor="background1" w:themeShade="1A"/>
          <w:sz w:val="24"/>
          <w:szCs w:val="24"/>
        </w:rPr>
        <w:t>, </w:t>
      </w:r>
      <w:r w:rsidRPr="007E5EC6">
        <w:rPr>
          <w:rFonts w:ascii="system-ui" w:hAnsi="system-ui" w:cs="Times New Roman"/>
          <w:i/>
          <w:iCs/>
          <w:color w:val="1A1A1A" w:themeColor="background1" w:themeShade="1A"/>
          <w:sz w:val="24"/>
          <w:szCs w:val="24"/>
        </w:rPr>
        <w:t>depression</w:t>
      </w:r>
      <w:r w:rsidRPr="007E5EC6">
        <w:rPr>
          <w:rFonts w:ascii="system-ui" w:hAnsi="system-ui" w:cs="Times New Roman"/>
          <w:color w:val="1A1A1A" w:themeColor="background1" w:themeShade="1A"/>
          <w:sz w:val="24"/>
          <w:szCs w:val="24"/>
        </w:rPr>
        <w:t>, and </w:t>
      </w:r>
      <w:r w:rsidRPr="007E5EC6">
        <w:rPr>
          <w:rFonts w:ascii="system-ui" w:hAnsi="system-ui" w:cs="Times New Roman"/>
          <w:i/>
          <w:iCs/>
          <w:color w:val="1A1A1A" w:themeColor="background1" w:themeShade="1A"/>
          <w:sz w:val="24"/>
          <w:szCs w:val="24"/>
        </w:rPr>
        <w:t>stress</w:t>
      </w:r>
      <w:r w:rsidRPr="007E5EC6">
        <w:rPr>
          <w:rFonts w:ascii="system-ui" w:hAnsi="system-ui" w:cs="Times New Roman"/>
          <w:color w:val="1A1A1A" w:themeColor="background1" w:themeShade="1A"/>
          <w:sz w:val="24"/>
          <w:szCs w:val="24"/>
        </w:rPr>
        <w:t> reported via the DASS-21 in this course, covering the semesters from Fall 2019 (</w:t>
      </w:r>
      <w:proofErr w:type="spellStart"/>
      <w:r w:rsidRPr="007E5EC6">
        <w:rPr>
          <w:rFonts w:ascii="system-ui" w:hAnsi="system-ui" w:cs="Times New Roman"/>
          <w:color w:val="1A1A1A" w:themeColor="background1" w:themeShade="1A"/>
          <w:sz w:val="24"/>
          <w:szCs w:val="24"/>
        </w:rPr>
        <w:t>prepandemic</w:t>
      </w:r>
      <w:proofErr w:type="spellEnd"/>
      <w:r w:rsidRPr="007E5EC6">
        <w:rPr>
          <w:rFonts w:ascii="system-ui" w:hAnsi="system-ui" w:cs="Times New Roman"/>
          <w:color w:val="1A1A1A" w:themeColor="background1" w:themeShade="1A"/>
          <w:sz w:val="24"/>
          <w:szCs w:val="24"/>
        </w:rPr>
        <w:t>) through the current semester (Summer 2021).</w:t>
      </w:r>
    </w:p>
    <w:p w14:paraId="4B1307CD"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noProof/>
          <w:color w:val="1A1A1A" w:themeColor="background1" w:themeShade="1A"/>
          <w:sz w:val="24"/>
          <w:szCs w:val="24"/>
        </w:rPr>
        <mc:AlternateContent>
          <mc:Choice Requires="wps">
            <w:drawing>
              <wp:inline distT="0" distB="0" distL="0" distR="0" wp14:anchorId="03A23AB8" wp14:editId="01B35B8C">
                <wp:extent cx="304800" cy="304800"/>
                <wp:effectExtent l="0" t="0" r="0" b="0"/>
                <wp:docPr id="1" name="مستطيل 1" descr="Chart showing anxiety, depression, stress averages from fall 2019 through Summer 20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7E2009" id="مستطيل 1" o:spid="_x0000_s1026" alt="Chart showing anxiety, depression, stress averages from fall 2019 through Summer 202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" filled="f" stroked="f">
                <o:lock v:ext="edit" aspectratio="t"/>
                <w10:wrap anchorx="page"/>
                <w10:anchorlock/>
              </v:rect>
            </w:pict>
          </mc:Fallback>
        </mc:AlternateContent>
      </w:r>
      <w:r w:rsidRPr="007E5EC6">
        <w:rPr>
          <w:rFonts w:ascii="system-ui" w:hAnsi="system-ui" w:cs="Times New Roman"/>
          <w:color w:val="1A1A1A" w:themeColor="background1" w:themeShade="1A"/>
          <w:sz w:val="24"/>
          <w:szCs w:val="24"/>
        </w:rPr>
        <w:t> </w:t>
      </w:r>
    </w:p>
    <w:p w14:paraId="341F29FA"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Looking at the data we can see some trends... all three variables appear to have gotten somewhat worse when comparing Fall 2019 to Summer 2021. Statistical analysis indicates that over this period:</w:t>
      </w:r>
    </w:p>
    <w:p w14:paraId="2A9A21E1" w14:textId="77777777" w:rsidR="007E5EC6" w:rsidRPr="007E5EC6" w:rsidRDefault="007E5EC6" w:rsidP="007E5EC6">
      <w:pPr>
        <w:numPr>
          <w:ilvl w:val="0"/>
          <w:numId w:val="1"/>
        </w:numPr>
        <w:bidi w:val="0"/>
        <w:spacing w:before="100" w:beforeAutospacing="1" w:after="100" w:afterAutospacing="1"/>
        <w:divId w:val="1048527601"/>
        <w:rPr>
          <w:rFonts w:ascii="system-ui" w:eastAsia="Times New Roman" w:hAnsi="system-ui" w:cs="Times New Roman"/>
          <w:color w:val="1A1A1A" w:themeColor="background1" w:themeShade="1A"/>
          <w:sz w:val="24"/>
          <w:szCs w:val="24"/>
        </w:rPr>
      </w:pPr>
      <w:r w:rsidRPr="007E5EC6">
        <w:rPr>
          <w:rFonts w:ascii="system-ui" w:eastAsia="Times New Roman" w:hAnsi="system-ui" w:cs="Times New Roman"/>
          <w:i/>
          <w:iCs/>
          <w:color w:val="1A1A1A" w:themeColor="background1" w:themeShade="1A"/>
          <w:sz w:val="24"/>
          <w:szCs w:val="24"/>
        </w:rPr>
        <w:t>Anxiety</w:t>
      </w:r>
      <w:r w:rsidRPr="007E5EC6">
        <w:rPr>
          <w:rFonts w:ascii="system-ui" w:eastAsia="Times New Roman" w:hAnsi="system-ui" w:cs="Times New Roman"/>
          <w:color w:val="1A1A1A" w:themeColor="background1" w:themeShade="1A"/>
          <w:sz w:val="24"/>
          <w:szCs w:val="24"/>
        </w:rPr>
        <w:t> has gotten worse, </w:t>
      </w:r>
      <w:r w:rsidRPr="007E5EC6">
        <w:rPr>
          <w:rFonts w:ascii="system-ui" w:eastAsia="Times New Roman" w:hAnsi="system-ui" w:cs="Times New Roman"/>
          <w:i/>
          <w:iCs/>
          <w:color w:val="1A1A1A" w:themeColor="background1" w:themeShade="1A"/>
          <w:sz w:val="24"/>
          <w:szCs w:val="24"/>
        </w:rPr>
        <w:t>t</w:t>
      </w:r>
      <w:r w:rsidRPr="007E5EC6">
        <w:rPr>
          <w:rFonts w:ascii="system-ui" w:eastAsia="Times New Roman" w:hAnsi="system-ui" w:cs="Times New Roman"/>
          <w:color w:val="1A1A1A" w:themeColor="background1" w:themeShade="1A"/>
          <w:sz w:val="24"/>
          <w:szCs w:val="24"/>
        </w:rPr>
        <w:t>(6907) = 5.502, </w:t>
      </w:r>
      <w:r w:rsidRPr="007E5EC6">
        <w:rPr>
          <w:rFonts w:ascii="system-ui" w:eastAsia="Times New Roman" w:hAnsi="system-ui" w:cs="Times New Roman"/>
          <w:i/>
          <w:iCs/>
          <w:color w:val="1A1A1A" w:themeColor="background1" w:themeShade="1A"/>
          <w:sz w:val="24"/>
          <w:szCs w:val="24"/>
        </w:rPr>
        <w:t>p</w:t>
      </w:r>
      <w:r w:rsidRPr="007E5EC6">
        <w:rPr>
          <w:rFonts w:ascii="system-ui" w:eastAsia="Times New Roman" w:hAnsi="system-ui" w:cs="Times New Roman"/>
          <w:color w:val="1A1A1A" w:themeColor="background1" w:themeShade="1A"/>
          <w:sz w:val="24"/>
          <w:szCs w:val="24"/>
        </w:rPr>
        <w:t> &lt; .001, with a mean of 11.254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.167) in the fall of 2019 and a mean of 13.030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 .320) in the summer of 2021</w:t>
      </w:r>
    </w:p>
    <w:p w14:paraId="76128835" w14:textId="77777777" w:rsidR="007E5EC6" w:rsidRPr="007E5EC6" w:rsidRDefault="007E5EC6" w:rsidP="007E5EC6">
      <w:pPr>
        <w:numPr>
          <w:ilvl w:val="0"/>
          <w:numId w:val="1"/>
        </w:numPr>
        <w:bidi w:val="0"/>
        <w:spacing w:before="100" w:beforeAutospacing="1" w:after="100" w:afterAutospacing="1"/>
        <w:divId w:val="1048527601"/>
        <w:rPr>
          <w:rFonts w:ascii="system-ui" w:eastAsia="Times New Roman" w:hAnsi="system-ui" w:cs="Times New Roman"/>
          <w:color w:val="1A1A1A" w:themeColor="background1" w:themeShade="1A"/>
          <w:sz w:val="24"/>
          <w:szCs w:val="24"/>
        </w:rPr>
      </w:pPr>
      <w:r w:rsidRPr="007E5EC6">
        <w:rPr>
          <w:rFonts w:ascii="system-ui" w:eastAsia="Times New Roman" w:hAnsi="system-ui" w:cs="Times New Roman"/>
          <w:i/>
          <w:iCs/>
          <w:color w:val="1A1A1A" w:themeColor="background1" w:themeShade="1A"/>
          <w:sz w:val="24"/>
          <w:szCs w:val="24"/>
        </w:rPr>
        <w:t>Depression</w:t>
      </w:r>
      <w:r w:rsidRPr="007E5EC6">
        <w:rPr>
          <w:rFonts w:ascii="system-ui" w:eastAsia="Times New Roman" w:hAnsi="system-ui" w:cs="Times New Roman"/>
          <w:color w:val="1A1A1A" w:themeColor="background1" w:themeShade="1A"/>
          <w:sz w:val="24"/>
          <w:szCs w:val="24"/>
        </w:rPr>
        <w:t> has gotten worse, </w:t>
      </w:r>
      <w:r w:rsidRPr="007E5EC6">
        <w:rPr>
          <w:rFonts w:ascii="system-ui" w:eastAsia="Times New Roman" w:hAnsi="system-ui" w:cs="Times New Roman"/>
          <w:i/>
          <w:iCs/>
          <w:color w:val="1A1A1A" w:themeColor="background1" w:themeShade="1A"/>
          <w:sz w:val="24"/>
          <w:szCs w:val="24"/>
        </w:rPr>
        <w:t>t</w:t>
      </w:r>
      <w:r w:rsidRPr="007E5EC6">
        <w:rPr>
          <w:rFonts w:ascii="system-ui" w:eastAsia="Times New Roman" w:hAnsi="system-ui" w:cs="Times New Roman"/>
          <w:color w:val="1A1A1A" w:themeColor="background1" w:themeShade="1A"/>
          <w:sz w:val="24"/>
          <w:szCs w:val="24"/>
        </w:rPr>
        <w:t>(6907) = 3.884, </w:t>
      </w:r>
      <w:r w:rsidRPr="007E5EC6">
        <w:rPr>
          <w:rFonts w:ascii="system-ui" w:eastAsia="Times New Roman" w:hAnsi="system-ui" w:cs="Times New Roman"/>
          <w:i/>
          <w:iCs/>
          <w:color w:val="1A1A1A" w:themeColor="background1" w:themeShade="1A"/>
          <w:sz w:val="24"/>
          <w:szCs w:val="24"/>
        </w:rPr>
        <w:t>p</w:t>
      </w:r>
      <w:r w:rsidRPr="007E5EC6">
        <w:rPr>
          <w:rFonts w:ascii="system-ui" w:eastAsia="Times New Roman" w:hAnsi="system-ui" w:cs="Times New Roman"/>
          <w:color w:val="1A1A1A" w:themeColor="background1" w:themeShade="1A"/>
          <w:sz w:val="24"/>
          <w:szCs w:val="24"/>
        </w:rPr>
        <w:t> &lt; .001, with a mean of 11.128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.181) in the fall of 2019 and a mean of 12.290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 .320) in the summer of 2021</w:t>
      </w:r>
    </w:p>
    <w:p w14:paraId="4000406E" w14:textId="77777777" w:rsidR="007E5EC6" w:rsidRPr="007E5EC6" w:rsidRDefault="007E5EC6" w:rsidP="007E5EC6">
      <w:pPr>
        <w:numPr>
          <w:ilvl w:val="0"/>
          <w:numId w:val="1"/>
        </w:numPr>
        <w:bidi w:val="0"/>
        <w:spacing w:before="100" w:beforeAutospacing="1" w:after="100" w:afterAutospacing="1"/>
        <w:divId w:val="1048527601"/>
        <w:rPr>
          <w:rFonts w:ascii="system-ui" w:eastAsia="Times New Roman" w:hAnsi="system-ui" w:cs="Times New Roman"/>
          <w:color w:val="1A1A1A" w:themeColor="background1" w:themeShade="1A"/>
          <w:sz w:val="24"/>
          <w:szCs w:val="24"/>
        </w:rPr>
      </w:pPr>
      <w:r w:rsidRPr="007E5EC6">
        <w:rPr>
          <w:rFonts w:ascii="system-ui" w:eastAsia="Times New Roman" w:hAnsi="system-ui" w:cs="Times New Roman"/>
          <w:i/>
          <w:iCs/>
          <w:color w:val="1A1A1A" w:themeColor="background1" w:themeShade="1A"/>
          <w:sz w:val="24"/>
          <w:szCs w:val="24"/>
        </w:rPr>
        <w:t>Anxiety</w:t>
      </w:r>
      <w:r w:rsidRPr="007E5EC6">
        <w:rPr>
          <w:rFonts w:ascii="system-ui" w:eastAsia="Times New Roman" w:hAnsi="system-ui" w:cs="Times New Roman"/>
          <w:color w:val="1A1A1A" w:themeColor="background1" w:themeShade="1A"/>
          <w:sz w:val="24"/>
          <w:szCs w:val="24"/>
        </w:rPr>
        <w:t> has gotten worse, </w:t>
      </w:r>
      <w:r w:rsidRPr="007E5EC6">
        <w:rPr>
          <w:rFonts w:ascii="system-ui" w:eastAsia="Times New Roman" w:hAnsi="system-ui" w:cs="Times New Roman"/>
          <w:i/>
          <w:iCs/>
          <w:color w:val="1A1A1A" w:themeColor="background1" w:themeShade="1A"/>
          <w:sz w:val="24"/>
          <w:szCs w:val="24"/>
        </w:rPr>
        <w:t>t</w:t>
      </w:r>
      <w:r w:rsidRPr="007E5EC6">
        <w:rPr>
          <w:rFonts w:ascii="system-ui" w:eastAsia="Times New Roman" w:hAnsi="system-ui" w:cs="Times New Roman"/>
          <w:color w:val="1A1A1A" w:themeColor="background1" w:themeShade="1A"/>
          <w:sz w:val="24"/>
          <w:szCs w:val="24"/>
        </w:rPr>
        <w:t>(6907) = 4.577, </w:t>
      </w:r>
      <w:r w:rsidRPr="007E5EC6">
        <w:rPr>
          <w:rFonts w:ascii="system-ui" w:eastAsia="Times New Roman" w:hAnsi="system-ui" w:cs="Times New Roman"/>
          <w:i/>
          <w:iCs/>
          <w:color w:val="1A1A1A" w:themeColor="background1" w:themeShade="1A"/>
          <w:sz w:val="24"/>
          <w:szCs w:val="24"/>
        </w:rPr>
        <w:t>p</w:t>
      </w:r>
      <w:r w:rsidRPr="007E5EC6">
        <w:rPr>
          <w:rFonts w:ascii="system-ui" w:eastAsia="Times New Roman" w:hAnsi="system-ui" w:cs="Times New Roman"/>
          <w:color w:val="1A1A1A" w:themeColor="background1" w:themeShade="1A"/>
          <w:sz w:val="24"/>
          <w:szCs w:val="24"/>
        </w:rPr>
        <w:t> &lt; .001, with a mean of 13.307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.181) in the fall of 2019 and a mean of 14.350 (</w:t>
      </w:r>
      <w:r w:rsidRPr="007E5EC6">
        <w:rPr>
          <w:rFonts w:ascii="system-ui" w:eastAsia="Times New Roman" w:hAnsi="system-ui" w:cs="Times New Roman"/>
          <w:i/>
          <w:iCs/>
          <w:color w:val="1A1A1A" w:themeColor="background1" w:themeShade="1A"/>
          <w:sz w:val="24"/>
          <w:szCs w:val="24"/>
        </w:rPr>
        <w:t>SE</w:t>
      </w:r>
      <w:r w:rsidRPr="007E5EC6">
        <w:rPr>
          <w:rFonts w:ascii="system-ui" w:eastAsia="Times New Roman" w:hAnsi="system-ui" w:cs="Times New Roman"/>
          <w:color w:val="1A1A1A" w:themeColor="background1" w:themeShade="1A"/>
          <w:sz w:val="24"/>
          <w:szCs w:val="24"/>
        </w:rPr>
        <w:t> = .300) in the summer of 2021</w:t>
      </w:r>
    </w:p>
    <w:p w14:paraId="64B49A72"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The changes are not dramatic... an increase of just under 2.0 for </w:t>
      </w:r>
      <w:r w:rsidRPr="007E5EC6">
        <w:rPr>
          <w:rFonts w:ascii="system-ui" w:hAnsi="system-ui" w:cs="Times New Roman"/>
          <w:i/>
          <w:iCs/>
          <w:color w:val="1A1A1A" w:themeColor="background1" w:themeShade="1A"/>
          <w:sz w:val="24"/>
          <w:szCs w:val="24"/>
        </w:rPr>
        <w:t>anxiety</w:t>
      </w:r>
      <w:r w:rsidRPr="007E5EC6">
        <w:rPr>
          <w:rFonts w:ascii="system-ui" w:hAnsi="system-ui" w:cs="Times New Roman"/>
          <w:color w:val="1A1A1A" w:themeColor="background1" w:themeShade="1A"/>
          <w:sz w:val="24"/>
          <w:szCs w:val="24"/>
        </w:rPr>
        <w:t>, just over 1.0 for </w:t>
      </w:r>
      <w:r w:rsidRPr="007E5EC6">
        <w:rPr>
          <w:rFonts w:ascii="system-ui" w:hAnsi="system-ui" w:cs="Times New Roman"/>
          <w:i/>
          <w:iCs/>
          <w:color w:val="1A1A1A" w:themeColor="background1" w:themeShade="1A"/>
          <w:sz w:val="24"/>
          <w:szCs w:val="24"/>
        </w:rPr>
        <w:t>depression</w:t>
      </w:r>
      <w:r w:rsidRPr="007E5EC6">
        <w:rPr>
          <w:rFonts w:ascii="system-ui" w:hAnsi="system-ui" w:cs="Times New Roman"/>
          <w:color w:val="1A1A1A" w:themeColor="background1" w:themeShade="1A"/>
          <w:sz w:val="24"/>
          <w:szCs w:val="24"/>
        </w:rPr>
        <w:t>, and just over 1.0 for </w:t>
      </w:r>
      <w:r w:rsidRPr="007E5EC6">
        <w:rPr>
          <w:rFonts w:ascii="system-ui" w:hAnsi="system-ui" w:cs="Times New Roman"/>
          <w:i/>
          <w:iCs/>
          <w:color w:val="1A1A1A" w:themeColor="background1" w:themeShade="1A"/>
          <w:sz w:val="24"/>
          <w:szCs w:val="24"/>
        </w:rPr>
        <w:t>stress</w:t>
      </w:r>
      <w:r w:rsidRPr="007E5EC6">
        <w:rPr>
          <w:rFonts w:ascii="system-ui" w:hAnsi="system-ui" w:cs="Times New Roman"/>
          <w:color w:val="1A1A1A" w:themeColor="background1" w:themeShade="1A"/>
          <w:sz w:val="24"/>
          <w:szCs w:val="24"/>
        </w:rPr>
        <w:t>. But, due to the large N (a total of 6909 participants' data are used in this analysis) these small differences appear to be real.</w:t>
      </w:r>
    </w:p>
    <w:p w14:paraId="7F95E31F"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lastRenderedPageBreak/>
        <w:t>Looking at the figure, it's not as simple as saying that each of the variables' scores have been getting worse over time. Indeed, the chart shows that anxiety and depression were better, not worse, in the summer of 2020. Both of these variables also spiked (were worse) a bit before that, in the Spring of 2020. On the other hand, the stress variable does not show that spike or dip... it just slowly gets worse over time.</w:t>
      </w:r>
    </w:p>
    <w:p w14:paraId="3437290E"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This is why researchers want to analyze as much data as possible... just looking at Fall 2019 and Summer 2021, we would not see these interesting differences in the data. In also looking at the semesters in between those two, we can see differences in the way the data behaved and can speculate about what they mean.</w:t>
      </w:r>
    </w:p>
    <w:p w14:paraId="432EBD40"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So, what do you think might explain the spring 2020 surge in anxiety and depression, and then the summer-time dip in 2020, and then the dramatic rise for the fall of 2020, leveling off in the spring of 2021? And then this summer they are climbing again! Remember, you're just speculating, but that's fine!</w:t>
      </w:r>
    </w:p>
    <w:p w14:paraId="731F1ECF"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How might you explain the more consistent increase in stress scores? And it seems to have somewhat leveled off since last fall, why might that be?</w:t>
      </w:r>
    </w:p>
    <w:p w14:paraId="0BEDCDE2" w14:textId="77777777" w:rsidR="007E5EC6" w:rsidRPr="007E5EC6" w:rsidRDefault="007E5EC6" w:rsidP="007E5EC6">
      <w:pPr>
        <w:bidi w:val="0"/>
        <w:spacing w:before="100" w:beforeAutospacing="1" w:after="100" w:afterAutospacing="1"/>
        <w:divId w:val="1048527601"/>
        <w:rPr>
          <w:rFonts w:ascii="system-ui" w:hAnsi="system-ui" w:cs="Times New Roman"/>
          <w:color w:val="1A1A1A" w:themeColor="background1" w:themeShade="1A"/>
          <w:sz w:val="24"/>
          <w:szCs w:val="24"/>
        </w:rPr>
      </w:pPr>
      <w:r w:rsidRPr="007E5EC6">
        <w:rPr>
          <w:rFonts w:ascii="system-ui" w:hAnsi="system-ui" w:cs="Times New Roman"/>
          <w:color w:val="1A1A1A" w:themeColor="background1" w:themeShade="1A"/>
          <w:sz w:val="24"/>
          <w:szCs w:val="24"/>
        </w:rPr>
        <w:t>Remember, responding to my posts count as one of your "peer-responses!"</w:t>
      </w:r>
    </w:p>
    <w:p w14:paraId="3D00131F" w14:textId="77777777" w:rsidR="007E5EC6" w:rsidRPr="007E5EC6" w:rsidRDefault="007E5EC6" w:rsidP="007E5EC6">
      <w:pPr>
        <w:bidi w:val="0"/>
        <w:divId w:val="1048527601"/>
        <w:rPr>
          <w:rFonts w:ascii="Times New Roman" w:eastAsia="Times New Roman" w:hAnsi="Times New Roman" w:cs="Times New Roman"/>
          <w:color w:val="1A1A1A" w:themeColor="background1" w:themeShade="1A"/>
          <w:sz w:val="24"/>
          <w:szCs w:val="24"/>
        </w:rPr>
      </w:pPr>
    </w:p>
    <w:p w14:paraId="46EA52B2" w14:textId="77777777" w:rsidR="00236AE5" w:rsidRPr="00380989" w:rsidRDefault="00997739" w:rsidP="00236AE5">
      <w:pPr>
        <w:bidi w:val="0"/>
        <w:divId w:val="83309767"/>
        <w:rPr>
          <w:rFonts w:ascii="Times New Roman" w:eastAsia="Times New Roman" w:hAnsi="Times New Roman" w:cs="Times New Roman"/>
          <w:b/>
          <w:bCs/>
          <w:color w:val="1A1A1A" w:themeColor="background1" w:themeShade="1A"/>
          <w:sz w:val="24"/>
          <w:szCs w:val="24"/>
        </w:rPr>
      </w:pPr>
      <w:r w:rsidRPr="00380989">
        <w:rPr>
          <w:rFonts w:ascii="Times New Roman" w:eastAsia="Times New Roman" w:hAnsi="Times New Roman" w:cs="Times New Roman"/>
          <w:b/>
          <w:bCs/>
          <w:color w:val="1A1A1A" w:themeColor="background1" w:themeShade="1A"/>
          <w:sz w:val="24"/>
          <w:szCs w:val="24"/>
        </w:rPr>
        <w:t xml:space="preserve"> peer</w:t>
      </w:r>
      <w:r w:rsidR="000D4736" w:rsidRPr="00380989">
        <w:rPr>
          <w:rFonts w:ascii="Times New Roman" w:eastAsia="Times New Roman" w:hAnsi="Times New Roman" w:cs="Times New Roman"/>
          <w:b/>
          <w:bCs/>
          <w:color w:val="1A1A1A" w:themeColor="background1" w:themeShade="1A"/>
          <w:sz w:val="24"/>
          <w:szCs w:val="24"/>
        </w:rPr>
        <w:t xml:space="preserve"> response</w:t>
      </w:r>
    </w:p>
    <w:p w14:paraId="2673469D" w14:textId="77777777" w:rsidR="000D4736" w:rsidRPr="00380989" w:rsidRDefault="000D4736" w:rsidP="000D4736">
      <w:pPr>
        <w:bidi w:val="0"/>
        <w:divId w:val="83309767"/>
        <w:rPr>
          <w:rFonts w:ascii="Times New Roman" w:eastAsia="Times New Roman" w:hAnsi="Times New Roman" w:cs="Times New Roman"/>
          <w:b/>
          <w:bCs/>
          <w:color w:val="1A1A1A" w:themeColor="background1" w:themeShade="1A"/>
          <w:sz w:val="24"/>
          <w:szCs w:val="24"/>
        </w:rPr>
      </w:pPr>
    </w:p>
    <w:p w14:paraId="2F68C79C" w14:textId="77777777" w:rsidR="00C64390" w:rsidRPr="00C64390" w:rsidRDefault="00C64390" w:rsidP="00C64390">
      <w:pPr>
        <w:bidi w:val="0"/>
        <w:spacing w:before="100" w:beforeAutospacing="1" w:after="100" w:afterAutospacing="1"/>
        <w:divId w:val="670180524"/>
        <w:rPr>
          <w:rFonts w:ascii="system-ui" w:hAnsi="system-ui" w:cs="Times New Roman"/>
          <w:color w:val="1A1A1A" w:themeColor="background1" w:themeShade="1A"/>
          <w:sz w:val="24"/>
          <w:szCs w:val="24"/>
        </w:rPr>
      </w:pPr>
      <w:r w:rsidRPr="00C64390">
        <w:rPr>
          <w:rFonts w:ascii="system-ui" w:hAnsi="system-ui" w:cs="Times New Roman"/>
          <w:color w:val="1A1A1A" w:themeColor="background1" w:themeShade="1A"/>
          <w:sz w:val="24"/>
          <w:szCs w:val="24"/>
        </w:rPr>
        <w:br/>
        <w:t>I have no doubt that the pandemic and the changes it wrought have to do with the increases in all three of these metrics. And I'm sure it impacted students and teachers a great deal, as well as many others.</w:t>
      </w:r>
    </w:p>
    <w:p w14:paraId="61BE6597" w14:textId="77777777" w:rsidR="00C64390" w:rsidRPr="00C64390" w:rsidRDefault="00C64390" w:rsidP="00C64390">
      <w:pPr>
        <w:bidi w:val="0"/>
        <w:spacing w:before="100" w:beforeAutospacing="1" w:after="100" w:afterAutospacing="1"/>
        <w:divId w:val="670180524"/>
        <w:rPr>
          <w:rFonts w:ascii="system-ui" w:hAnsi="system-ui" w:cs="Times New Roman"/>
          <w:color w:val="1A1A1A" w:themeColor="background1" w:themeShade="1A"/>
          <w:sz w:val="24"/>
          <w:szCs w:val="24"/>
        </w:rPr>
      </w:pPr>
      <w:r w:rsidRPr="00C64390">
        <w:rPr>
          <w:rFonts w:ascii="system-ui" w:hAnsi="system-ui" w:cs="Times New Roman"/>
          <w:color w:val="1A1A1A" w:themeColor="background1" w:themeShade="1A"/>
          <w:sz w:val="24"/>
          <w:szCs w:val="24"/>
        </w:rPr>
        <w:t>Since I had the benefit of a decade of experience doing online teaching, I don't believe I found the change all that stressful. I was able to help my daughters with their transition in high school and middle school, help my wife set up her home office, and switching my own classes was not overly challenging. There were challenges there, however. I had to rapidly switch three of my courses from in-person to online. Even my online course at the time (325, of course) needed to be adjusted since the extended spring break meant that the second half of the semester's schedule needed to be reworked. I also spent a good deal of time working with colleagues (remotely) attempting to help them get their classes switched over... the curse of everyone knowing that I have experience with online teaching.</w:t>
      </w:r>
    </w:p>
    <w:p w14:paraId="604C3B5A" w14:textId="77777777" w:rsidR="00C64390" w:rsidRPr="00C64390" w:rsidRDefault="00C64390" w:rsidP="00C64390">
      <w:pPr>
        <w:bidi w:val="0"/>
        <w:spacing w:before="100" w:beforeAutospacing="1" w:after="100" w:afterAutospacing="1"/>
        <w:divId w:val="670180524"/>
        <w:rPr>
          <w:rFonts w:ascii="system-ui" w:hAnsi="system-ui" w:cs="Times New Roman"/>
          <w:color w:val="1A1A1A" w:themeColor="background1" w:themeShade="1A"/>
          <w:sz w:val="24"/>
          <w:szCs w:val="24"/>
        </w:rPr>
      </w:pPr>
      <w:r w:rsidRPr="00C64390">
        <w:rPr>
          <w:rFonts w:ascii="system-ui" w:hAnsi="system-ui" w:cs="Times New Roman"/>
          <w:color w:val="1A1A1A" w:themeColor="background1" w:themeShade="1A"/>
          <w:sz w:val="24"/>
          <w:szCs w:val="24"/>
        </w:rPr>
        <w:t>Of course, this is all correlational, and so we can't be sure that the pandemic was the cause of these shifts, but the data are compelling.</w:t>
      </w:r>
    </w:p>
    <w:p w14:paraId="678DE24E" w14:textId="77777777" w:rsidR="00C64390" w:rsidRPr="00C64390" w:rsidRDefault="00C64390" w:rsidP="00C64390">
      <w:pPr>
        <w:bidi w:val="0"/>
        <w:spacing w:before="100" w:beforeAutospacing="1" w:after="100" w:afterAutospacing="1"/>
        <w:divId w:val="670180524"/>
        <w:rPr>
          <w:rFonts w:ascii="system-ui" w:hAnsi="system-ui" w:cs="Times New Roman"/>
          <w:color w:val="1A1A1A" w:themeColor="background1" w:themeShade="1A"/>
          <w:sz w:val="24"/>
          <w:szCs w:val="24"/>
        </w:rPr>
      </w:pPr>
      <w:r w:rsidRPr="00C64390">
        <w:rPr>
          <w:rFonts w:ascii="system-ui" w:hAnsi="system-ui" w:cs="Times New Roman"/>
          <w:color w:val="1A1A1A" w:themeColor="background1" w:themeShade="1A"/>
          <w:sz w:val="24"/>
          <w:szCs w:val="24"/>
        </w:rPr>
        <w:t xml:space="preserve">Indeed, the rising and falling of the variables might be explained by the pandemic, which would lend more credence to the possibility that it was the </w:t>
      </w:r>
      <w:r w:rsidRPr="00C64390">
        <w:rPr>
          <w:rFonts w:ascii="system-ui" w:hAnsi="system-ui" w:cs="Times New Roman"/>
          <w:color w:val="1A1A1A" w:themeColor="background1" w:themeShade="1A"/>
          <w:sz w:val="24"/>
          <w:szCs w:val="24"/>
        </w:rPr>
        <w:lastRenderedPageBreak/>
        <w:t>cause. Does anyone want to take a shot at explaining those variations in the pattern shown in the graph above?</w:t>
      </w:r>
    </w:p>
    <w:p w14:paraId="492FB8C8" w14:textId="77777777" w:rsidR="00C64390" w:rsidRPr="00C64390" w:rsidRDefault="00C64390" w:rsidP="00C64390">
      <w:pPr>
        <w:bidi w:val="0"/>
        <w:divId w:val="670180524"/>
        <w:rPr>
          <w:rFonts w:ascii="Times New Roman" w:eastAsia="Times New Roman" w:hAnsi="Times New Roman" w:cs="Times New Roman"/>
          <w:color w:val="1A1A1A" w:themeColor="background1" w:themeShade="1A"/>
          <w:sz w:val="24"/>
          <w:szCs w:val="24"/>
        </w:rPr>
      </w:pPr>
    </w:p>
    <w:p w14:paraId="46D0A074" w14:textId="77777777" w:rsidR="000D4736" w:rsidRPr="00236AE5" w:rsidRDefault="000D4736" w:rsidP="000D4736">
      <w:pPr>
        <w:bidi w:val="0"/>
        <w:divId w:val="83309767"/>
        <w:rPr>
          <w:rFonts w:ascii="Times New Roman" w:eastAsia="Times New Roman" w:hAnsi="Times New Roman" w:cs="Times New Roman"/>
          <w:b/>
          <w:bCs/>
          <w:color w:val="1A1A1A" w:themeColor="background1" w:themeShade="1A"/>
          <w:sz w:val="24"/>
          <w:szCs w:val="24"/>
        </w:rPr>
      </w:pPr>
    </w:p>
    <w:p w14:paraId="4CA86D23" w14:textId="77777777" w:rsidR="00F83667" w:rsidRPr="00380989" w:rsidRDefault="00F83667" w:rsidP="00F83667">
      <w:pPr>
        <w:jc w:val="right"/>
        <w:rPr>
          <w:rFonts w:asciiTheme="majorBidi" w:hAnsiTheme="majorBidi" w:cstheme="majorBidi"/>
          <w:color w:val="1A1A1A" w:themeColor="background1" w:themeShade="1A"/>
          <w:sz w:val="24"/>
          <w:szCs w:val="24"/>
        </w:rPr>
      </w:pPr>
    </w:p>
    <w:sectPr w:rsidR="00F83667" w:rsidRPr="00380989" w:rsidSect="001808A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ui">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EF1B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8D"/>
    <w:rsid w:val="000D4736"/>
    <w:rsid w:val="000E0E1A"/>
    <w:rsid w:val="001808A2"/>
    <w:rsid w:val="001D1DAF"/>
    <w:rsid w:val="00226420"/>
    <w:rsid w:val="00236AE5"/>
    <w:rsid w:val="0025453F"/>
    <w:rsid w:val="00297AD3"/>
    <w:rsid w:val="002A0116"/>
    <w:rsid w:val="00380989"/>
    <w:rsid w:val="00531D8D"/>
    <w:rsid w:val="007E5EC6"/>
    <w:rsid w:val="0082176A"/>
    <w:rsid w:val="00997739"/>
    <w:rsid w:val="00C64390"/>
    <w:rsid w:val="00F836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8DB388F"/>
  <w15:chartTrackingRefBased/>
  <w15:docId w15:val="{ACC19063-970D-D647-B788-DCA766CD2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6420"/>
    <w:pPr>
      <w:bidi w:val="0"/>
      <w:spacing w:before="100" w:beforeAutospacing="1" w:after="100" w:afterAutospacing="1"/>
    </w:pPr>
    <w:rPr>
      <w:rFonts w:ascii="Times New Roman" w:hAnsi="Times New Roman" w:cs="Times New Roman"/>
      <w:sz w:val="24"/>
      <w:szCs w:val="24"/>
    </w:rPr>
  </w:style>
  <w:style w:type="character" w:styleId="a4">
    <w:name w:val="Emphasis"/>
    <w:basedOn w:val="a0"/>
    <w:uiPriority w:val="20"/>
    <w:qFormat/>
    <w:rsid w:val="00226420"/>
    <w:rPr>
      <w:i/>
      <w:iCs/>
    </w:rPr>
  </w:style>
  <w:style w:type="character" w:customStyle="1" w:styleId="apple-converted-space">
    <w:name w:val="apple-converted-space"/>
    <w:basedOn w:val="a0"/>
    <w:rsid w:val="00226420"/>
  </w:style>
  <w:style w:type="character" w:styleId="Hyperlink">
    <w:name w:val="Hyperlink"/>
    <w:basedOn w:val="a0"/>
    <w:uiPriority w:val="99"/>
    <w:semiHidden/>
    <w:unhideWhenUsed/>
    <w:rsid w:val="00236A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685968">
      <w:bodyDiv w:val="1"/>
      <w:marLeft w:val="0"/>
      <w:marRight w:val="0"/>
      <w:marTop w:val="0"/>
      <w:marBottom w:val="0"/>
      <w:divBdr>
        <w:top w:val="none" w:sz="0" w:space="0" w:color="auto"/>
        <w:left w:val="none" w:sz="0" w:space="0" w:color="auto"/>
        <w:bottom w:val="none" w:sz="0" w:space="0" w:color="auto"/>
        <w:right w:val="none" w:sz="0" w:space="0" w:color="auto"/>
      </w:divBdr>
      <w:divsChild>
        <w:div w:id="1875147460">
          <w:marLeft w:val="0"/>
          <w:marRight w:val="0"/>
          <w:marTop w:val="0"/>
          <w:marBottom w:val="0"/>
          <w:divBdr>
            <w:top w:val="none" w:sz="0" w:space="0" w:color="auto"/>
            <w:left w:val="none" w:sz="0" w:space="0" w:color="auto"/>
            <w:bottom w:val="none" w:sz="0" w:space="0" w:color="auto"/>
            <w:right w:val="none" w:sz="0" w:space="0" w:color="auto"/>
          </w:divBdr>
        </w:div>
        <w:div w:id="1480684105">
          <w:marLeft w:val="0"/>
          <w:marRight w:val="0"/>
          <w:marTop w:val="180"/>
          <w:marBottom w:val="180"/>
          <w:divBdr>
            <w:top w:val="none" w:sz="0" w:space="0" w:color="auto"/>
            <w:left w:val="none" w:sz="0" w:space="0" w:color="auto"/>
            <w:bottom w:val="none" w:sz="0" w:space="0" w:color="auto"/>
            <w:right w:val="none" w:sz="0" w:space="0" w:color="auto"/>
          </w:divBdr>
        </w:div>
      </w:divsChild>
    </w:div>
    <w:div w:id="1424180414">
      <w:bodyDiv w:val="1"/>
      <w:marLeft w:val="0"/>
      <w:marRight w:val="0"/>
      <w:marTop w:val="0"/>
      <w:marBottom w:val="0"/>
      <w:divBdr>
        <w:top w:val="none" w:sz="0" w:space="0" w:color="auto"/>
        <w:left w:val="none" w:sz="0" w:space="0" w:color="auto"/>
        <w:bottom w:val="none" w:sz="0" w:space="0" w:color="auto"/>
        <w:right w:val="none" w:sz="0" w:space="0" w:color="auto"/>
      </w:divBdr>
      <w:divsChild>
        <w:div w:id="314066939">
          <w:marLeft w:val="0"/>
          <w:marRight w:val="0"/>
          <w:marTop w:val="0"/>
          <w:marBottom w:val="0"/>
          <w:divBdr>
            <w:top w:val="none" w:sz="0" w:space="0" w:color="auto"/>
            <w:left w:val="none" w:sz="0" w:space="0" w:color="auto"/>
            <w:bottom w:val="none" w:sz="0" w:space="0" w:color="auto"/>
            <w:right w:val="none" w:sz="0" w:space="0" w:color="auto"/>
          </w:divBdr>
        </w:div>
        <w:div w:id="83309767">
          <w:marLeft w:val="0"/>
          <w:marRight w:val="0"/>
          <w:marTop w:val="180"/>
          <w:marBottom w:val="180"/>
          <w:divBdr>
            <w:top w:val="none" w:sz="0" w:space="0" w:color="auto"/>
            <w:left w:val="none" w:sz="0" w:space="0" w:color="auto"/>
            <w:bottom w:val="none" w:sz="0" w:space="0" w:color="auto"/>
            <w:right w:val="none" w:sz="0" w:space="0" w:color="auto"/>
          </w:divBdr>
          <w:divsChild>
            <w:div w:id="1048527601">
              <w:marLeft w:val="0"/>
              <w:marRight w:val="0"/>
              <w:marTop w:val="0"/>
              <w:marBottom w:val="0"/>
              <w:divBdr>
                <w:top w:val="none" w:sz="0" w:space="0" w:color="auto"/>
                <w:left w:val="none" w:sz="0" w:space="0" w:color="auto"/>
                <w:bottom w:val="none" w:sz="0" w:space="0" w:color="auto"/>
                <w:right w:val="none" w:sz="0" w:space="0" w:color="auto"/>
              </w:divBdr>
            </w:div>
            <w:div w:id="6701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x.doi.org.dominican.idm.oclc.org/10.1007/s10943-019-00821-x" TargetMode="External"/><Relationship Id="rId5" Type="http://schemas.openxmlformats.org/officeDocument/2006/relationships/hyperlink" Target="https://doi.org/10.1016/j.adolescence.2013.11.006"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1625</Words>
  <Characters>9266</Characters>
  <Application>Microsoft Office Word</Application>
  <DocSecurity>0</DocSecurity>
  <Lines>77</Lines>
  <Paragraphs>21</Paragraphs>
  <ScaleCrop>false</ScaleCrop>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Ebtisam Hameed M Almehmadi</dc:creator>
  <cp:keywords/>
  <dc:description/>
  <cp:lastModifiedBy>Ebtisam Hameed M Almehmadi</cp:lastModifiedBy>
  <cp:revision>2</cp:revision>
  <dcterms:created xsi:type="dcterms:W3CDTF">2021-07-06T20:05:00Z</dcterms:created>
  <dcterms:modified xsi:type="dcterms:W3CDTF">2021-07-06T20:05:00Z</dcterms:modified>
</cp:coreProperties>
</file>