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06418" w14:textId="77777777" w:rsidR="00EE5F86" w:rsidRPr="007C5E50" w:rsidRDefault="00F7452E" w:rsidP="00F7452E">
      <w:pPr>
        <w:bidi w:val="0"/>
        <w:spacing w:before="100" w:beforeAutospacing="1" w:after="100" w:afterAutospacing="1"/>
        <w:divId w:val="1659381997"/>
        <w:rPr>
          <w:rFonts w:ascii="Times New Roman" w:hAnsi="Times New Roman" w:cs="Times New Roman"/>
          <w:b/>
          <w:bCs/>
          <w:sz w:val="24"/>
          <w:szCs w:val="24"/>
          <w:rtl/>
        </w:rPr>
      </w:pPr>
      <w:r w:rsidRPr="007C5E50">
        <w:rPr>
          <w:rFonts w:ascii="Times New Roman" w:hAnsi="Times New Roman" w:cs="Times New Roman" w:hint="cs"/>
          <w:b/>
          <w:bCs/>
          <w:sz w:val="24"/>
          <w:szCs w:val="24"/>
          <w:rtl/>
        </w:rPr>
        <w:t>First</w:t>
      </w:r>
      <w:r w:rsidR="000C7829" w:rsidRPr="007C5E50">
        <w:rPr>
          <w:rFonts w:ascii="Times New Roman" w:hAnsi="Times New Roman" w:cs="Times New Roman" w:hint="cs"/>
          <w:b/>
          <w:bCs/>
          <w:sz w:val="24"/>
          <w:szCs w:val="24"/>
          <w:rtl/>
        </w:rPr>
        <w:t xml:space="preserve"> </w:t>
      </w:r>
      <w:r w:rsidR="00BA1BF8">
        <w:rPr>
          <w:rFonts w:ascii="Times New Roman" w:hAnsi="Times New Roman" w:cs="Times New Roman" w:hint="cs"/>
          <w:b/>
          <w:bCs/>
          <w:sz w:val="24"/>
          <w:szCs w:val="24"/>
          <w:rtl/>
        </w:rPr>
        <w:t xml:space="preserve">peer </w:t>
      </w:r>
      <w:r w:rsidR="000C7829" w:rsidRPr="007C5E50">
        <w:rPr>
          <w:rFonts w:ascii="Times New Roman" w:hAnsi="Times New Roman" w:cs="Times New Roman" w:hint="cs"/>
          <w:b/>
          <w:bCs/>
          <w:sz w:val="24"/>
          <w:szCs w:val="24"/>
          <w:rtl/>
        </w:rPr>
        <w:t xml:space="preserve"> post</w:t>
      </w:r>
    </w:p>
    <w:p w14:paraId="05BCBED8" w14:textId="77777777" w:rsidR="00EE5F86" w:rsidRPr="00EE5F86" w:rsidRDefault="00EE5F86" w:rsidP="00EE5F86">
      <w:pPr>
        <w:bidi w:val="0"/>
        <w:spacing w:before="100" w:beforeAutospacing="1" w:after="100" w:afterAutospacing="1"/>
        <w:divId w:val="1659381997"/>
        <w:rPr>
          <w:rFonts w:ascii="Times New Roman" w:hAnsi="Times New Roman" w:cs="Times New Roman"/>
          <w:sz w:val="24"/>
          <w:szCs w:val="24"/>
        </w:rPr>
      </w:pPr>
      <w:r w:rsidRPr="00EE5F86">
        <w:rPr>
          <w:rFonts w:ascii="Times New Roman" w:hAnsi="Times New Roman" w:cs="Times New Roman"/>
          <w:sz w:val="24"/>
          <w:szCs w:val="24"/>
        </w:rPr>
        <w:t>Time-series design is described by the APA dictionary of Psychology as an experimental design that involves the observation of units (e.g., people, countries) over a defined time period. Data collected from such designs may be evaluated with time-series analysis. In a time-series design it can use the pretest and posttest observations for different purposes. These series of observations allow the researchers to minimize the threats to internal validity. A time-series design is classified as quasi-experimental.</w:t>
      </w:r>
    </w:p>
    <w:p w14:paraId="34F21AF1" w14:textId="77777777" w:rsidR="00EE5F86" w:rsidRPr="00EE5F86" w:rsidRDefault="00EE5F86" w:rsidP="00EE5F86">
      <w:pPr>
        <w:bidi w:val="0"/>
        <w:spacing w:before="100" w:beforeAutospacing="1" w:after="100" w:afterAutospacing="1"/>
        <w:divId w:val="1659381997"/>
        <w:rPr>
          <w:rFonts w:ascii="Times New Roman" w:hAnsi="Times New Roman" w:cs="Times New Roman"/>
          <w:sz w:val="24"/>
          <w:szCs w:val="24"/>
        </w:rPr>
      </w:pPr>
      <w:r w:rsidRPr="00EE5F86">
        <w:rPr>
          <w:rFonts w:ascii="Times New Roman" w:hAnsi="Times New Roman" w:cs="Times New Roman"/>
          <w:sz w:val="24"/>
          <w:szCs w:val="24"/>
        </w:rPr>
        <w:t>The research I found was on the role of mental health counseling in college students’ academic success. Their findings suggested that mental health counseling plays a huge part in a student’s academic success and the stability of the college’s retention rate. They hypothesized that students’ academic performance will vary depending on pre-counseling or post-counseling. The research conducted counseling sessions at a Midwestern university between 2014 and 2018. The clients had to have attended at least two counseling sessions following their initial intake to accurately calculate the residual change of scores of their academic distress, they based this information off their previous psychotherapy research.</w:t>
      </w:r>
    </w:p>
    <w:p w14:paraId="47006B6A" w14:textId="77777777" w:rsidR="00EE5F86" w:rsidRPr="00EE5F86" w:rsidRDefault="00EE5F86" w:rsidP="00EE5F86">
      <w:pPr>
        <w:bidi w:val="0"/>
        <w:spacing w:before="100" w:beforeAutospacing="1" w:after="100" w:afterAutospacing="1"/>
        <w:divId w:val="1659381997"/>
        <w:rPr>
          <w:rFonts w:ascii="Times New Roman" w:hAnsi="Times New Roman" w:cs="Times New Roman"/>
          <w:sz w:val="24"/>
          <w:szCs w:val="24"/>
        </w:rPr>
      </w:pPr>
      <w:r w:rsidRPr="00EE5F86">
        <w:rPr>
          <w:rFonts w:ascii="Times New Roman" w:hAnsi="Times New Roman" w:cs="Times New Roman"/>
          <w:sz w:val="24"/>
          <w:szCs w:val="24"/>
        </w:rPr>
        <w:t>Their research findings were that the student’s GPA’s were affected by the pre-counseling or post-counseling research. That the post-counseling did help successfully improve a student’s GPA. They also measured the student’s academic distress over time compared to counseling and found the psychological distress correlated with the changes in the GPA, but the changes in the academic distress were not correlated in the changes in the GPA.</w:t>
      </w:r>
    </w:p>
    <w:p w14:paraId="76258F81" w14:textId="77777777" w:rsidR="00EE5F86" w:rsidRPr="00EE5F86" w:rsidRDefault="00EE5F86" w:rsidP="00EE5F86">
      <w:pPr>
        <w:bidi w:val="0"/>
        <w:spacing w:before="100" w:beforeAutospacing="1" w:after="100" w:afterAutospacing="1"/>
        <w:divId w:val="1659381997"/>
        <w:rPr>
          <w:rFonts w:ascii="Times New Roman" w:hAnsi="Times New Roman" w:cs="Times New Roman"/>
          <w:sz w:val="24"/>
          <w:szCs w:val="24"/>
        </w:rPr>
      </w:pPr>
      <w:r w:rsidRPr="00EE5F86">
        <w:rPr>
          <w:rFonts w:ascii="Times New Roman" w:hAnsi="Times New Roman" w:cs="Times New Roman"/>
          <w:sz w:val="24"/>
          <w:szCs w:val="24"/>
        </w:rPr>
        <w:t>I believe this research is important, because it does help the colleges see the impacts of student counseling. It also helps the college see where they might need to adjust, if it is not benefiting the students academically. This time-series research helps researchers so a more in-depth research and study many variables over a extended time period, which gives researchers more accurate results.</w:t>
      </w:r>
    </w:p>
    <w:p w14:paraId="19FF4B71" w14:textId="77777777" w:rsidR="00EE5F86" w:rsidRPr="00EE5F86" w:rsidRDefault="00EE5F86" w:rsidP="00EE5F86">
      <w:pPr>
        <w:bidi w:val="0"/>
        <w:spacing w:before="100" w:beforeAutospacing="1" w:after="100" w:afterAutospacing="1"/>
        <w:divId w:val="1659381997"/>
        <w:rPr>
          <w:rFonts w:ascii="Times New Roman" w:hAnsi="Times New Roman" w:cs="Times New Roman"/>
          <w:sz w:val="24"/>
          <w:szCs w:val="24"/>
        </w:rPr>
      </w:pPr>
      <w:r w:rsidRPr="00EE5F86">
        <w:rPr>
          <w:rFonts w:ascii="Times New Roman" w:hAnsi="Times New Roman" w:cs="Times New Roman"/>
          <w:sz w:val="24"/>
          <w:szCs w:val="24"/>
        </w:rPr>
        <w:t>American Psychological Association. (2020). </w:t>
      </w:r>
      <w:r w:rsidRPr="00EE5F86">
        <w:rPr>
          <w:rFonts w:ascii="Times New Roman" w:hAnsi="Times New Roman" w:cs="Times New Roman"/>
          <w:i/>
          <w:iCs/>
          <w:sz w:val="24"/>
          <w:szCs w:val="24"/>
        </w:rPr>
        <w:t>APA Dictionary of Psychology</w:t>
      </w:r>
      <w:r w:rsidRPr="00EE5F86">
        <w:rPr>
          <w:rFonts w:ascii="Times New Roman" w:hAnsi="Times New Roman" w:cs="Times New Roman"/>
          <w:sz w:val="24"/>
          <w:szCs w:val="24"/>
        </w:rPr>
        <w:t>. American Psychological Association. </w:t>
      </w:r>
      <w:hyperlink r:id="rId4" w:history="1">
        <w:r w:rsidRPr="00EE5F86">
          <w:rPr>
            <w:rFonts w:ascii="Times New Roman" w:hAnsi="Times New Roman" w:cs="Times New Roman"/>
            <w:color w:val="007FFF"/>
            <w:sz w:val="24"/>
            <w:szCs w:val="24"/>
            <w:u w:val="single"/>
          </w:rPr>
          <w:t>https://dictionary.apa.org/time-series-design</w:t>
        </w:r>
      </w:hyperlink>
      <w:r w:rsidRPr="00EE5F86">
        <w:rPr>
          <w:rFonts w:ascii="Times New Roman" w:hAnsi="Times New Roman" w:cs="Times New Roman"/>
          <w:sz w:val="24"/>
          <w:szCs w:val="24"/>
        </w:rPr>
        <w:t>.</w:t>
      </w:r>
    </w:p>
    <w:p w14:paraId="71FDE006" w14:textId="77777777" w:rsidR="00B67528" w:rsidRPr="007C5E50" w:rsidRDefault="00EE5F86" w:rsidP="00386EFC">
      <w:pPr>
        <w:bidi w:val="0"/>
        <w:spacing w:before="100" w:beforeAutospacing="1" w:after="100" w:afterAutospacing="1"/>
        <w:divId w:val="1659381997"/>
        <w:rPr>
          <w:rFonts w:ascii="Times New Roman" w:hAnsi="Times New Roman" w:cs="Times New Roman"/>
          <w:sz w:val="24"/>
          <w:szCs w:val="24"/>
          <w:rtl/>
        </w:rPr>
      </w:pPr>
      <w:proofErr w:type="spellStart"/>
      <w:r w:rsidRPr="00EE5F86">
        <w:rPr>
          <w:rFonts w:ascii="Times New Roman" w:hAnsi="Times New Roman" w:cs="Times New Roman"/>
          <w:sz w:val="24"/>
          <w:szCs w:val="24"/>
        </w:rPr>
        <w:t>Kivlighan</w:t>
      </w:r>
      <w:proofErr w:type="spellEnd"/>
      <w:r w:rsidRPr="00EE5F86">
        <w:rPr>
          <w:rFonts w:ascii="Times New Roman" w:hAnsi="Times New Roman" w:cs="Times New Roman"/>
          <w:sz w:val="24"/>
          <w:szCs w:val="24"/>
        </w:rPr>
        <w:t xml:space="preserve"> III, D. M., </w:t>
      </w:r>
      <w:proofErr w:type="spellStart"/>
      <w:r w:rsidRPr="00EE5F86">
        <w:rPr>
          <w:rFonts w:ascii="Times New Roman" w:hAnsi="Times New Roman" w:cs="Times New Roman"/>
          <w:sz w:val="24"/>
          <w:szCs w:val="24"/>
        </w:rPr>
        <w:t>Schreier</w:t>
      </w:r>
      <w:proofErr w:type="spellEnd"/>
      <w:r w:rsidRPr="00EE5F86">
        <w:rPr>
          <w:rFonts w:ascii="Times New Roman" w:hAnsi="Times New Roman" w:cs="Times New Roman"/>
          <w:sz w:val="24"/>
          <w:szCs w:val="24"/>
        </w:rPr>
        <w:t xml:space="preserve">, B. A., Gates, C., Hong, J. E., </w:t>
      </w:r>
      <w:proofErr w:type="spellStart"/>
      <w:r w:rsidRPr="00EE5F86">
        <w:rPr>
          <w:rFonts w:ascii="Times New Roman" w:hAnsi="Times New Roman" w:cs="Times New Roman"/>
          <w:sz w:val="24"/>
          <w:szCs w:val="24"/>
        </w:rPr>
        <w:t>Corkery</w:t>
      </w:r>
      <w:proofErr w:type="spellEnd"/>
      <w:r w:rsidRPr="00EE5F86">
        <w:rPr>
          <w:rFonts w:ascii="Times New Roman" w:hAnsi="Times New Roman" w:cs="Times New Roman"/>
          <w:sz w:val="24"/>
          <w:szCs w:val="24"/>
        </w:rPr>
        <w:t xml:space="preserve">, J. M., Anderson, C. L., &amp; </w:t>
      </w:r>
      <w:proofErr w:type="spellStart"/>
      <w:r w:rsidRPr="00EE5F86">
        <w:rPr>
          <w:rFonts w:ascii="Times New Roman" w:hAnsi="Times New Roman" w:cs="Times New Roman"/>
          <w:sz w:val="24"/>
          <w:szCs w:val="24"/>
        </w:rPr>
        <w:t>Keeton</w:t>
      </w:r>
      <w:proofErr w:type="spellEnd"/>
      <w:r w:rsidRPr="00EE5F86">
        <w:rPr>
          <w:rFonts w:ascii="Times New Roman" w:hAnsi="Times New Roman" w:cs="Times New Roman"/>
          <w:sz w:val="24"/>
          <w:szCs w:val="24"/>
        </w:rPr>
        <w:t>, P. M. (2020). The role of mental health counseling in college students’ academic success: An interrupted time series analysis. </w:t>
      </w:r>
      <w:r w:rsidRPr="00EE5F86">
        <w:rPr>
          <w:rFonts w:ascii="Times New Roman" w:hAnsi="Times New Roman" w:cs="Times New Roman"/>
          <w:i/>
          <w:iCs/>
          <w:sz w:val="24"/>
          <w:szCs w:val="24"/>
        </w:rPr>
        <w:t>Journal of Counseling Psychology</w:t>
      </w:r>
      <w:r w:rsidRPr="00EE5F86">
        <w:rPr>
          <w:rFonts w:ascii="Times New Roman" w:hAnsi="Times New Roman" w:cs="Times New Roman"/>
          <w:sz w:val="24"/>
          <w:szCs w:val="24"/>
        </w:rPr>
        <w:t>.</w:t>
      </w:r>
    </w:p>
    <w:p w14:paraId="33884C4D" w14:textId="77777777" w:rsidR="00F7452E" w:rsidRPr="00EE5F86" w:rsidRDefault="00741279" w:rsidP="00F7452E">
      <w:pPr>
        <w:bidi w:val="0"/>
        <w:spacing w:before="100" w:beforeAutospacing="1" w:after="100" w:afterAutospacing="1"/>
        <w:divId w:val="1659381997"/>
        <w:rPr>
          <w:rFonts w:ascii="Times New Roman" w:hAnsi="Times New Roman" w:cs="Times New Roman"/>
          <w:b/>
          <w:bCs/>
          <w:sz w:val="24"/>
          <w:szCs w:val="24"/>
        </w:rPr>
      </w:pPr>
      <w:r w:rsidRPr="007C5E50">
        <w:rPr>
          <w:rFonts w:ascii="Times New Roman" w:hAnsi="Times New Roman" w:cs="Times New Roman" w:hint="cs"/>
          <w:b/>
          <w:bCs/>
          <w:sz w:val="24"/>
          <w:szCs w:val="24"/>
          <w:rtl/>
        </w:rPr>
        <w:t>S</w:t>
      </w:r>
      <w:r w:rsidR="00B67528" w:rsidRPr="007C5E50">
        <w:rPr>
          <w:rFonts w:ascii="Times New Roman" w:hAnsi="Times New Roman" w:cs="Times New Roman" w:hint="cs"/>
          <w:b/>
          <w:bCs/>
          <w:sz w:val="24"/>
          <w:szCs w:val="24"/>
          <w:rtl/>
        </w:rPr>
        <w:t>econd peer post</w:t>
      </w:r>
    </w:p>
    <w:p w14:paraId="0EE40536" w14:textId="77777777" w:rsidR="00B67528" w:rsidRPr="007C5E50" w:rsidRDefault="00B67528">
      <w:pPr>
        <w:pStyle w:val="a3"/>
        <w:divId w:val="1387678054"/>
        <w:rPr>
          <w:rFonts w:ascii="system-ui" w:hAnsi="system-ui"/>
          <w:color w:val="2D3B45"/>
        </w:rPr>
      </w:pPr>
      <w:r w:rsidRPr="007C5E50">
        <w:rPr>
          <w:rFonts w:ascii="system-ui" w:hAnsi="system-ui"/>
          <w:color w:val="2D3B45"/>
        </w:rPr>
        <w:t>Longitudinal research designs are an example of the developmental design strategy and consist of measuring a variable in the same group of individuals over time (</w:t>
      </w:r>
      <w:proofErr w:type="spellStart"/>
      <w:r w:rsidRPr="007C5E50">
        <w:rPr>
          <w:rFonts w:ascii="system-ui" w:hAnsi="system-ui"/>
          <w:color w:val="2D3B45"/>
        </w:rPr>
        <w:t>Gravetter</w:t>
      </w:r>
      <w:proofErr w:type="spellEnd"/>
      <w:r w:rsidRPr="007C5E50">
        <w:rPr>
          <w:rFonts w:ascii="system-ui" w:hAnsi="system-ui"/>
          <w:color w:val="2D3B45"/>
        </w:rPr>
        <w:t xml:space="preserve"> &amp; Forzano, 2018). Measurements are typically made every few months or every few years and the group of individuals is made up of people with a similar age and background, which is an advantage of longitudinal studies (</w:t>
      </w:r>
      <w:proofErr w:type="spellStart"/>
      <w:r w:rsidRPr="007C5E50">
        <w:rPr>
          <w:rFonts w:ascii="system-ui" w:hAnsi="system-ui"/>
          <w:color w:val="2D3B45"/>
        </w:rPr>
        <w:t>Gravetter</w:t>
      </w:r>
      <w:proofErr w:type="spellEnd"/>
      <w:r w:rsidRPr="007C5E50">
        <w:rPr>
          <w:rFonts w:ascii="system-ui" w:hAnsi="system-ui"/>
          <w:color w:val="2D3B45"/>
        </w:rPr>
        <w:t xml:space="preserve"> &amp; Forzano, 2018) However, longitudinal research designs have some serious disadvantages: they are very time-consuming, they are very expensive, </w:t>
      </w:r>
      <w:r w:rsidRPr="007C5E50">
        <w:rPr>
          <w:rFonts w:ascii="system-ui" w:hAnsi="system-ui"/>
          <w:color w:val="2D3B45"/>
        </w:rPr>
        <w:lastRenderedPageBreak/>
        <w:t>they require a large amount of effort from the researcher(s) to recruit participants, and they have a high rate of participant attrition (dropouts) (</w:t>
      </w:r>
      <w:proofErr w:type="spellStart"/>
      <w:r w:rsidRPr="007C5E50">
        <w:rPr>
          <w:rFonts w:ascii="system-ui" w:hAnsi="system-ui"/>
          <w:color w:val="2D3B45"/>
        </w:rPr>
        <w:t>Gravetter</w:t>
      </w:r>
      <w:proofErr w:type="spellEnd"/>
      <w:r w:rsidRPr="007C5E50">
        <w:rPr>
          <w:rFonts w:ascii="system-ui" w:hAnsi="system-ui"/>
          <w:color w:val="2D3B45"/>
        </w:rPr>
        <w:t xml:space="preserve"> &amp; Forzano, 2018). Despite these drawbacks, researchers still use the longitudinal research design because the results they provide are very valuable.</w:t>
      </w:r>
    </w:p>
    <w:p w14:paraId="5CA896EC" w14:textId="77777777" w:rsidR="00B67528" w:rsidRPr="007C5E50" w:rsidRDefault="00B67528">
      <w:pPr>
        <w:pStyle w:val="a3"/>
        <w:divId w:val="1387678054"/>
        <w:rPr>
          <w:rFonts w:ascii="system-ui" w:hAnsi="system-ui"/>
          <w:color w:val="2D3B45"/>
        </w:rPr>
      </w:pPr>
      <w:r w:rsidRPr="007C5E50">
        <w:rPr>
          <w:rFonts w:ascii="system-ui" w:hAnsi="system-ui"/>
          <w:color w:val="2D3B45"/>
        </w:rPr>
        <w:t xml:space="preserve">I found a longitudinal study that was conducted on high school students in Italy. </w:t>
      </w:r>
      <w:proofErr w:type="spellStart"/>
      <w:r w:rsidRPr="007C5E50">
        <w:rPr>
          <w:rFonts w:ascii="system-ui" w:hAnsi="system-ui"/>
          <w:color w:val="2D3B45"/>
        </w:rPr>
        <w:t>Albarello</w:t>
      </w:r>
      <w:proofErr w:type="spellEnd"/>
      <w:r w:rsidRPr="007C5E50">
        <w:rPr>
          <w:rFonts w:ascii="system-ui" w:hAnsi="system-ui"/>
          <w:color w:val="2D3B45"/>
        </w:rPr>
        <w:t xml:space="preserve"> et al. (2021) examined how the students' identification with two proximal groups (classmates and friends) and their identification with humanity influence their social well-being. The data was collected over one academic year and measurements were made every 3 months (</w:t>
      </w:r>
      <w:proofErr w:type="spellStart"/>
      <w:r w:rsidRPr="007C5E50">
        <w:rPr>
          <w:rFonts w:ascii="system-ui" w:hAnsi="system-ui"/>
          <w:color w:val="2D3B45"/>
        </w:rPr>
        <w:t>Albarello</w:t>
      </w:r>
      <w:proofErr w:type="spellEnd"/>
      <w:r w:rsidRPr="007C5E50">
        <w:rPr>
          <w:rFonts w:ascii="system-ui" w:hAnsi="system-ui"/>
          <w:color w:val="2D3B45"/>
        </w:rPr>
        <w:t xml:space="preserve"> et al., 2021). </w:t>
      </w:r>
      <w:proofErr w:type="spellStart"/>
      <w:r w:rsidRPr="007C5E50">
        <w:rPr>
          <w:rFonts w:ascii="system-ui" w:hAnsi="system-ui"/>
          <w:color w:val="2D3B45"/>
        </w:rPr>
        <w:t>Albarello</w:t>
      </w:r>
      <w:proofErr w:type="spellEnd"/>
      <w:r w:rsidRPr="007C5E50">
        <w:rPr>
          <w:rFonts w:ascii="system-ui" w:hAnsi="system-ui"/>
          <w:color w:val="2D3B45"/>
        </w:rPr>
        <w:t xml:space="preserve"> et al. (2021) used the Group Identification scale to measure the students level of identification with classmates and friends, the four-items identification with humanity scale to measure the students level of identification with humanity, and the Mental Health Continuum-Short Form to measure the students social well-being. </w:t>
      </w:r>
      <w:proofErr w:type="spellStart"/>
      <w:r w:rsidRPr="007C5E50">
        <w:rPr>
          <w:rFonts w:ascii="system-ui" w:hAnsi="system-ui"/>
          <w:color w:val="2D3B45"/>
        </w:rPr>
        <w:t>Albarello</w:t>
      </w:r>
      <w:proofErr w:type="spellEnd"/>
      <w:r w:rsidRPr="007C5E50">
        <w:rPr>
          <w:rFonts w:ascii="system-ui" w:hAnsi="system-ui"/>
          <w:color w:val="2D3B45"/>
        </w:rPr>
        <w:t xml:space="preserve"> et al. (2021) found that identification with proximal social groups was positively correlated with identification with humanity, and that identification with these groups was positively related to social well-being over time. Overall, the results of the study indicate that it is important for adolescents' social well-being in the short and long-run to be identified with groups of peers and classmates (</w:t>
      </w:r>
      <w:proofErr w:type="spellStart"/>
      <w:r w:rsidRPr="007C5E50">
        <w:rPr>
          <w:rFonts w:ascii="system-ui" w:hAnsi="system-ui"/>
          <w:color w:val="2D3B45"/>
        </w:rPr>
        <w:t>Albarello</w:t>
      </w:r>
      <w:proofErr w:type="spellEnd"/>
      <w:r w:rsidRPr="007C5E50">
        <w:rPr>
          <w:rFonts w:ascii="system-ui" w:hAnsi="system-ui"/>
          <w:color w:val="2D3B45"/>
        </w:rPr>
        <w:t xml:space="preserve"> et al., 2021). </w:t>
      </w:r>
    </w:p>
    <w:p w14:paraId="4AB2BF50" w14:textId="77777777" w:rsidR="00B67528" w:rsidRPr="007C5E50" w:rsidRDefault="00B67528">
      <w:pPr>
        <w:pStyle w:val="a3"/>
        <w:divId w:val="1387678054"/>
        <w:rPr>
          <w:rFonts w:ascii="system-ui" w:hAnsi="system-ui"/>
          <w:color w:val="2D3B45"/>
        </w:rPr>
      </w:pPr>
      <w:r w:rsidRPr="007C5E50">
        <w:rPr>
          <w:rFonts w:ascii="system-ui" w:hAnsi="system-ui"/>
          <w:color w:val="2D3B45"/>
        </w:rPr>
        <w:t xml:space="preserve">The one suggestion that I would make for this longitudinal study is to increase the duration of it. </w:t>
      </w:r>
      <w:proofErr w:type="spellStart"/>
      <w:r w:rsidRPr="007C5E50">
        <w:rPr>
          <w:rFonts w:ascii="system-ui" w:hAnsi="system-ui"/>
          <w:color w:val="2D3B45"/>
        </w:rPr>
        <w:t>Albarello</w:t>
      </w:r>
      <w:proofErr w:type="spellEnd"/>
      <w:r w:rsidRPr="007C5E50">
        <w:rPr>
          <w:rFonts w:ascii="system-ui" w:hAnsi="system-ui"/>
          <w:color w:val="2D3B45"/>
        </w:rPr>
        <w:t xml:space="preserve"> et al. (2021) conducted the study for just one academic year and the participants consisted of students in 11th and 12th grade. I would recommend starting the study with strictly 9th graders as the participants and continuing the study over the course of their four academic years in high school. Although this would be much more time-consuming, I believe it would provide more in-depth and meaningful results. </w:t>
      </w:r>
    </w:p>
    <w:p w14:paraId="46624943" w14:textId="77777777" w:rsidR="00B67528" w:rsidRPr="007C5E50" w:rsidRDefault="00B67528">
      <w:pPr>
        <w:pStyle w:val="p1"/>
        <w:divId w:val="1387678054"/>
        <w:rPr>
          <w:rFonts w:ascii="system-ui" w:hAnsi="system-ui"/>
          <w:color w:val="2D3B45"/>
        </w:rPr>
      </w:pPr>
      <w:proofErr w:type="spellStart"/>
      <w:r w:rsidRPr="007C5E50">
        <w:rPr>
          <w:rFonts w:ascii="system-ui" w:hAnsi="system-ui"/>
          <w:color w:val="2D3B45"/>
        </w:rPr>
        <w:t>Albarello</w:t>
      </w:r>
      <w:proofErr w:type="spellEnd"/>
      <w:r w:rsidRPr="007C5E50">
        <w:rPr>
          <w:rFonts w:ascii="system-ui" w:hAnsi="system-ui"/>
          <w:color w:val="2D3B45"/>
        </w:rPr>
        <w:t xml:space="preserve">, F., </w:t>
      </w:r>
      <w:proofErr w:type="spellStart"/>
      <w:r w:rsidRPr="007C5E50">
        <w:rPr>
          <w:rFonts w:ascii="system-ui" w:hAnsi="system-ui"/>
          <w:color w:val="2D3B45"/>
        </w:rPr>
        <w:t>Crocetti</w:t>
      </w:r>
      <w:proofErr w:type="spellEnd"/>
      <w:r w:rsidRPr="007C5E50">
        <w:rPr>
          <w:rFonts w:ascii="system-ui" w:hAnsi="system-ui"/>
          <w:color w:val="2D3B45"/>
        </w:rPr>
        <w:t xml:space="preserve">, E., &amp; </w:t>
      </w:r>
      <w:proofErr w:type="spellStart"/>
      <w:r w:rsidRPr="007C5E50">
        <w:rPr>
          <w:rFonts w:ascii="system-ui" w:hAnsi="system-ui"/>
          <w:color w:val="2D3B45"/>
        </w:rPr>
        <w:t>Rubini</w:t>
      </w:r>
      <w:proofErr w:type="spellEnd"/>
      <w:r w:rsidRPr="007C5E50">
        <w:rPr>
          <w:rFonts w:ascii="system-ui" w:hAnsi="system-ui"/>
          <w:color w:val="2D3B45"/>
        </w:rPr>
        <w:t>, M. (2021). Developing identification with humanity and social well-being through social identification with peer groups in adolescence. </w:t>
      </w:r>
      <w:r w:rsidRPr="007C5E50">
        <w:rPr>
          <w:rFonts w:ascii="system-ui" w:hAnsi="system-ui"/>
          <w:i/>
          <w:iCs/>
          <w:color w:val="2D3B45"/>
        </w:rPr>
        <w:t>Journal of Youth and Adolescence</w:t>
      </w:r>
      <w:r w:rsidRPr="007C5E50">
        <w:rPr>
          <w:rFonts w:ascii="system-ui" w:hAnsi="system-ui"/>
          <w:color w:val="2D3B45"/>
        </w:rPr>
        <w:t>, </w:t>
      </w:r>
      <w:r w:rsidRPr="007C5E50">
        <w:rPr>
          <w:rFonts w:ascii="system-ui" w:hAnsi="system-ui"/>
          <w:i/>
          <w:iCs/>
          <w:color w:val="2D3B45"/>
        </w:rPr>
        <w:t>50</w:t>
      </w:r>
      <w:r w:rsidRPr="007C5E50">
        <w:rPr>
          <w:rFonts w:ascii="system-ui" w:hAnsi="system-ui"/>
          <w:color w:val="2D3B45"/>
        </w:rPr>
        <w:t>(6), 1157–1172.</w:t>
      </w:r>
    </w:p>
    <w:p w14:paraId="43A16A14" w14:textId="77777777" w:rsidR="00B67528" w:rsidRPr="007C5E50" w:rsidRDefault="00B67528">
      <w:pPr>
        <w:pStyle w:val="p1"/>
        <w:divId w:val="1387678054"/>
        <w:rPr>
          <w:rFonts w:ascii="system-ui" w:hAnsi="system-ui"/>
          <w:color w:val="2D3B45"/>
        </w:rPr>
      </w:pPr>
      <w:hyperlink r:id="rId5" w:history="1">
        <w:r w:rsidRPr="007C5E50">
          <w:rPr>
            <w:rStyle w:val="Hyperlink"/>
            <w:rFonts w:ascii="system-ui" w:hAnsi="system-ui"/>
            <w:color w:val="007FFF"/>
          </w:rPr>
          <w:t>https://doi.org/10.1007/s10964-020-01214-0</w:t>
        </w:r>
      </w:hyperlink>
    </w:p>
    <w:p w14:paraId="226F59D5" w14:textId="77777777" w:rsidR="00B67528" w:rsidRPr="007C5E50" w:rsidRDefault="00B67528">
      <w:pPr>
        <w:pStyle w:val="p1"/>
        <w:divId w:val="1387678054"/>
        <w:rPr>
          <w:rFonts w:ascii="system-ui" w:hAnsi="system-ui"/>
          <w:color w:val="2D3B45"/>
        </w:rPr>
      </w:pPr>
      <w:proofErr w:type="spellStart"/>
      <w:r w:rsidRPr="007C5E50">
        <w:rPr>
          <w:rFonts w:ascii="system-ui" w:hAnsi="system-ui"/>
          <w:color w:val="2D3B45"/>
        </w:rPr>
        <w:t>Gravetter</w:t>
      </w:r>
      <w:proofErr w:type="spellEnd"/>
      <w:r w:rsidRPr="007C5E50">
        <w:rPr>
          <w:rFonts w:ascii="system-ui" w:hAnsi="system-ui"/>
          <w:color w:val="2D3B45"/>
        </w:rPr>
        <w:t xml:space="preserve">, F. J. &amp; Forzano, L. B. (2018). Research methods for the behavioral sciences (6th ed.). </w:t>
      </w:r>
      <w:proofErr w:type="spellStart"/>
      <w:r w:rsidRPr="007C5E50">
        <w:rPr>
          <w:rFonts w:ascii="system-ui" w:hAnsi="system-ui"/>
          <w:color w:val="2D3B45"/>
        </w:rPr>
        <w:t>Cengage</w:t>
      </w:r>
      <w:proofErr w:type="spellEnd"/>
      <w:r w:rsidRPr="007C5E50">
        <w:rPr>
          <w:rFonts w:ascii="system-ui" w:hAnsi="system-ui"/>
          <w:color w:val="2D3B45"/>
        </w:rPr>
        <w:t xml:space="preserve"> Learning.</w:t>
      </w:r>
    </w:p>
    <w:p w14:paraId="24D60EAE" w14:textId="77777777" w:rsidR="00386EFC" w:rsidRPr="007C5E50" w:rsidRDefault="00B67528" w:rsidP="00386EFC">
      <w:pPr>
        <w:pStyle w:val="a3"/>
        <w:divId w:val="1387678054"/>
        <w:rPr>
          <w:rFonts w:ascii="system-ui" w:hAnsi="system-ui"/>
          <w:color w:val="2D3B45"/>
          <w:rtl/>
        </w:rPr>
      </w:pPr>
      <w:hyperlink r:id="rId6" w:tgtFrame="_blank" w:tooltip="Albarello2021_Article_DevelopingIdentificationWithHu.pdf" w:history="1">
        <w:r w:rsidRPr="007C5E50">
          <w:rPr>
            <w:rStyle w:val="Hyperlink"/>
            <w:rFonts w:ascii="system-ui" w:hAnsi="system-ui"/>
            <w:color w:val="007FFF"/>
          </w:rPr>
          <w:t>Albarello2021_Article_DevelopingIdentificationWithHu.pdf</w:t>
        </w:r>
      </w:hyperlink>
    </w:p>
    <w:p w14:paraId="42FDFBEF" w14:textId="77777777" w:rsidR="00386EFC" w:rsidRDefault="00BA1BF8" w:rsidP="00386EFC">
      <w:pPr>
        <w:pStyle w:val="a3"/>
        <w:divId w:val="1387678054"/>
        <w:rPr>
          <w:rFonts w:ascii="system-ui" w:hAnsi="system-ui"/>
          <w:b/>
          <w:bCs/>
          <w:color w:val="2D3B45"/>
          <w:rtl/>
        </w:rPr>
      </w:pPr>
      <w:r>
        <w:rPr>
          <w:rFonts w:ascii="system-ui" w:hAnsi="system-ui" w:hint="cs"/>
          <w:b/>
          <w:bCs/>
          <w:color w:val="2D3B45"/>
          <w:rtl/>
        </w:rPr>
        <w:t>Third</w:t>
      </w:r>
      <w:r w:rsidR="004D5C61" w:rsidRPr="007C5E50">
        <w:rPr>
          <w:rFonts w:ascii="system-ui" w:hAnsi="system-ui" w:hint="cs"/>
          <w:b/>
          <w:bCs/>
          <w:color w:val="2D3B45"/>
          <w:rtl/>
        </w:rPr>
        <w:t xml:space="preserve"> peer post </w:t>
      </w:r>
    </w:p>
    <w:p w14:paraId="24B6C7AF" w14:textId="77777777" w:rsidR="00E40290" w:rsidRPr="00E40290" w:rsidRDefault="00E40290" w:rsidP="00E40290">
      <w:pPr>
        <w:bidi w:val="0"/>
        <w:spacing w:before="100" w:beforeAutospacing="1" w:after="100" w:afterAutospacing="1"/>
        <w:divId w:val="709960358"/>
        <w:rPr>
          <w:rFonts w:ascii="Times New Roman" w:hAnsi="Times New Roman" w:cs="Times New Roman"/>
          <w:sz w:val="24"/>
          <w:szCs w:val="24"/>
        </w:rPr>
      </w:pPr>
      <w:r w:rsidRPr="00E40290">
        <w:rPr>
          <w:rFonts w:ascii="Times New Roman" w:hAnsi="Times New Roman" w:cs="Times New Roman"/>
          <w:sz w:val="24"/>
          <w:szCs w:val="24"/>
        </w:rPr>
        <w:t xml:space="preserve">From learning about different types of designs, like experimental, </w:t>
      </w:r>
      <w:proofErr w:type="spellStart"/>
      <w:r w:rsidRPr="00E40290">
        <w:rPr>
          <w:rFonts w:ascii="Times New Roman" w:hAnsi="Times New Roman" w:cs="Times New Roman"/>
          <w:sz w:val="24"/>
          <w:szCs w:val="24"/>
        </w:rPr>
        <w:t>nonexperimental</w:t>
      </w:r>
      <w:proofErr w:type="spellEnd"/>
      <w:r w:rsidRPr="00E40290">
        <w:rPr>
          <w:rFonts w:ascii="Times New Roman" w:hAnsi="Times New Roman" w:cs="Times New Roman"/>
          <w:sz w:val="24"/>
          <w:szCs w:val="24"/>
        </w:rPr>
        <w:t xml:space="preserve">, correlational, and descriptive, there are many subcategories within each.  Pre-test/ post-test designs are falls under the </w:t>
      </w:r>
      <w:proofErr w:type="spellStart"/>
      <w:r w:rsidRPr="00E40290">
        <w:rPr>
          <w:rFonts w:ascii="Times New Roman" w:hAnsi="Times New Roman" w:cs="Times New Roman"/>
          <w:sz w:val="24"/>
          <w:szCs w:val="24"/>
        </w:rPr>
        <w:t>nonexperimental</w:t>
      </w:r>
      <w:proofErr w:type="spellEnd"/>
      <w:r w:rsidRPr="00E40290">
        <w:rPr>
          <w:rFonts w:ascii="Times New Roman" w:hAnsi="Times New Roman" w:cs="Times New Roman"/>
          <w:sz w:val="24"/>
          <w:szCs w:val="24"/>
        </w:rPr>
        <w:t xml:space="preserve"> category.  </w:t>
      </w:r>
      <w:proofErr w:type="spellStart"/>
      <w:r w:rsidRPr="00E40290">
        <w:rPr>
          <w:rFonts w:ascii="Times New Roman" w:hAnsi="Times New Roman" w:cs="Times New Roman"/>
          <w:sz w:val="24"/>
          <w:szCs w:val="24"/>
        </w:rPr>
        <w:t>Gravetter</w:t>
      </w:r>
      <w:proofErr w:type="spellEnd"/>
      <w:r w:rsidRPr="00E40290">
        <w:rPr>
          <w:rFonts w:ascii="Times New Roman" w:hAnsi="Times New Roman" w:cs="Times New Roman"/>
          <w:sz w:val="24"/>
          <w:szCs w:val="24"/>
        </w:rPr>
        <w:t xml:space="preserve"> and Forzano (2018), describe a pretest- posttest design as a </w:t>
      </w:r>
      <w:proofErr w:type="spellStart"/>
      <w:r w:rsidRPr="00E40290">
        <w:rPr>
          <w:rFonts w:ascii="Times New Roman" w:hAnsi="Times New Roman" w:cs="Times New Roman"/>
          <w:sz w:val="24"/>
          <w:szCs w:val="24"/>
        </w:rPr>
        <w:t>nonexperimental</w:t>
      </w:r>
      <w:proofErr w:type="spellEnd"/>
      <w:r w:rsidRPr="00E40290">
        <w:rPr>
          <w:rFonts w:ascii="Times New Roman" w:hAnsi="Times New Roman" w:cs="Times New Roman"/>
          <w:sz w:val="24"/>
          <w:szCs w:val="24"/>
        </w:rPr>
        <w:t xml:space="preserve"> design in which each individual within a single group of participants is measured, usually through a questionnaire, once before and after a treatment.  This specific type of design precludes a cause-and-effect relationship, classifying it as </w:t>
      </w:r>
      <w:proofErr w:type="spellStart"/>
      <w:r w:rsidRPr="00E40290">
        <w:rPr>
          <w:rFonts w:ascii="Times New Roman" w:hAnsi="Times New Roman" w:cs="Times New Roman"/>
          <w:sz w:val="24"/>
          <w:szCs w:val="24"/>
        </w:rPr>
        <w:t>nonexperimental</w:t>
      </w:r>
      <w:proofErr w:type="spellEnd"/>
      <w:r w:rsidRPr="00E40290">
        <w:rPr>
          <w:rFonts w:ascii="Times New Roman" w:hAnsi="Times New Roman" w:cs="Times New Roman"/>
          <w:sz w:val="24"/>
          <w:szCs w:val="24"/>
        </w:rPr>
        <w:t>.  </w:t>
      </w:r>
    </w:p>
    <w:p w14:paraId="13173F79" w14:textId="77777777" w:rsidR="00E40290" w:rsidRPr="00E40290" w:rsidRDefault="00E40290" w:rsidP="00E40290">
      <w:pPr>
        <w:bidi w:val="0"/>
        <w:spacing w:before="100" w:beforeAutospacing="1" w:after="100" w:afterAutospacing="1"/>
        <w:divId w:val="709960358"/>
        <w:rPr>
          <w:rFonts w:ascii="Times New Roman" w:hAnsi="Times New Roman" w:cs="Times New Roman"/>
          <w:sz w:val="24"/>
          <w:szCs w:val="24"/>
        </w:rPr>
      </w:pPr>
      <w:r w:rsidRPr="00E40290">
        <w:rPr>
          <w:rFonts w:ascii="Times New Roman" w:hAnsi="Times New Roman" w:cs="Times New Roman"/>
          <w:sz w:val="24"/>
          <w:szCs w:val="24"/>
        </w:rPr>
        <w:lastRenderedPageBreak/>
        <w:t xml:space="preserve">A study performed by McGlade and </w:t>
      </w:r>
      <w:proofErr w:type="spellStart"/>
      <w:r w:rsidRPr="00E40290">
        <w:rPr>
          <w:rFonts w:ascii="Times New Roman" w:hAnsi="Times New Roman" w:cs="Times New Roman"/>
          <w:sz w:val="24"/>
          <w:szCs w:val="24"/>
        </w:rPr>
        <w:t>Pierscionek</w:t>
      </w:r>
      <w:proofErr w:type="spellEnd"/>
      <w:r w:rsidRPr="00E40290">
        <w:rPr>
          <w:rFonts w:ascii="Times New Roman" w:hAnsi="Times New Roman" w:cs="Times New Roman"/>
          <w:sz w:val="24"/>
          <w:szCs w:val="24"/>
        </w:rPr>
        <w:t xml:space="preserve"> (2013), was compiled of a pretest-posttest design using two sets of cross-sectional data on the same population.  The objective of the study was to examine the attitudes and behavior of student nurses and their level of knowledge about organ donation before and after a class regarding the topic.  The hypothesis was presented that the program, or class, can significantly improve knowledge and a positive influenced attitude towards organ behavior.  Having a total of 115 second year nursing students, a questionnaire was provided to them in which they were to complete an hour before and after the organ donation program.   After a completion of a power test, a determined 100 participants had a valid level of power (0.89) adequate for the data analysis. </w:t>
      </w:r>
    </w:p>
    <w:p w14:paraId="7DEAAF96" w14:textId="77777777" w:rsidR="00E40290" w:rsidRPr="00E40290" w:rsidRDefault="00E40290" w:rsidP="00E40290">
      <w:pPr>
        <w:bidi w:val="0"/>
        <w:spacing w:before="100" w:beforeAutospacing="1" w:after="100" w:afterAutospacing="1"/>
        <w:divId w:val="709960358"/>
        <w:rPr>
          <w:rFonts w:ascii="Times New Roman" w:hAnsi="Times New Roman" w:cs="Times New Roman"/>
          <w:sz w:val="24"/>
          <w:szCs w:val="24"/>
        </w:rPr>
      </w:pPr>
      <w:r w:rsidRPr="00E40290">
        <w:rPr>
          <w:rFonts w:ascii="Times New Roman" w:hAnsi="Times New Roman" w:cs="Times New Roman"/>
          <w:sz w:val="24"/>
          <w:szCs w:val="24"/>
        </w:rPr>
        <w:t>From data collection, there was a proven statistically significant improvement of knowledge about organ donation after the program was taken (χ2 = 23.059, exact p &lt; 0.001).  Overall, there was an improvement in the knowledge in regarding different organs being donated, such as corneal tissue, and the laws surrounding organ donation.  Another major improvement observed after the class was the willingness to register to be an organ donor rose by 14.3%.  After the class, there was another increase in the number of participants that had a positive attitude towards organ donation and consenting, however these results were not significantly significant (p = 0.06).  Furthermore, there was not a significant change found in regards to the perceived benefits of organ donation (p = 0.157), medical distrust (p = 1.0), and misappropriation of donated organs (p = 0.752).  Overall, the results yielded support to the hypothesis made. </w:t>
      </w:r>
    </w:p>
    <w:p w14:paraId="2F5F1B42" w14:textId="77777777" w:rsidR="00E40290" w:rsidRPr="00E40290" w:rsidRDefault="00E40290" w:rsidP="00E40290">
      <w:pPr>
        <w:bidi w:val="0"/>
        <w:spacing w:before="100" w:beforeAutospacing="1" w:after="100" w:afterAutospacing="1"/>
        <w:divId w:val="709960358"/>
        <w:rPr>
          <w:rFonts w:ascii="Times New Roman" w:hAnsi="Times New Roman" w:cs="Times New Roman"/>
          <w:sz w:val="24"/>
          <w:szCs w:val="24"/>
        </w:rPr>
      </w:pPr>
      <w:r w:rsidRPr="00E40290">
        <w:rPr>
          <w:rFonts w:ascii="Times New Roman" w:hAnsi="Times New Roman" w:cs="Times New Roman"/>
          <w:sz w:val="24"/>
          <w:szCs w:val="24"/>
        </w:rPr>
        <w:t>This study was conducted as a pretest-posttest design through a questionnaire given to the participants before and after an organ donation program.  There is a limitation with the study and room for improvement with the way the questionnaires were distributed.  Since the original sample size was at 115, then went down to 100 due to the number of students who turned in both questionnaires, there could have been distribution and collection while the students were sitting in the class.  Moreover, there is also a limitation with the age distribution of the second-year nursing student ranging from 18-50 years of age.  This presents an uneven level of knowledge because those who are older in age, tend to have an increased knowledge of organ donation from life experiences and discussions. </w:t>
      </w:r>
    </w:p>
    <w:p w14:paraId="6EA57FED" w14:textId="77777777" w:rsidR="00E40290" w:rsidRPr="00E40290" w:rsidRDefault="00E40290" w:rsidP="00E40290">
      <w:pPr>
        <w:bidi w:val="0"/>
        <w:spacing w:before="100" w:beforeAutospacing="1" w:after="100" w:afterAutospacing="1"/>
        <w:divId w:val="709960358"/>
        <w:rPr>
          <w:rFonts w:ascii="Times New Roman" w:hAnsi="Times New Roman" w:cs="Times New Roman"/>
          <w:sz w:val="24"/>
          <w:szCs w:val="24"/>
        </w:rPr>
      </w:pPr>
      <w:r w:rsidRPr="00E40290">
        <w:rPr>
          <w:rFonts w:ascii="Times New Roman" w:hAnsi="Times New Roman" w:cs="Times New Roman"/>
          <w:sz w:val="24"/>
          <w:szCs w:val="24"/>
        </w:rPr>
        <w:t> </w:t>
      </w:r>
    </w:p>
    <w:p w14:paraId="5E2995D7" w14:textId="77777777" w:rsidR="00E40290" w:rsidRPr="00E40290" w:rsidRDefault="00E40290" w:rsidP="00E40290">
      <w:pPr>
        <w:bidi w:val="0"/>
        <w:spacing w:before="100" w:beforeAutospacing="1" w:after="100" w:afterAutospacing="1"/>
        <w:divId w:val="709960358"/>
        <w:rPr>
          <w:rFonts w:ascii="Times New Roman" w:hAnsi="Times New Roman" w:cs="Times New Roman"/>
          <w:sz w:val="24"/>
          <w:szCs w:val="24"/>
        </w:rPr>
      </w:pPr>
      <w:proofErr w:type="spellStart"/>
      <w:r w:rsidRPr="00E40290">
        <w:rPr>
          <w:rFonts w:ascii="Times New Roman" w:hAnsi="Times New Roman" w:cs="Times New Roman"/>
          <w:sz w:val="24"/>
          <w:szCs w:val="24"/>
        </w:rPr>
        <w:t>Gravetter</w:t>
      </w:r>
      <w:proofErr w:type="spellEnd"/>
      <w:r w:rsidRPr="00E40290">
        <w:rPr>
          <w:rFonts w:ascii="Times New Roman" w:hAnsi="Times New Roman" w:cs="Times New Roman"/>
          <w:sz w:val="24"/>
          <w:szCs w:val="24"/>
        </w:rPr>
        <w:t xml:space="preserve">, F. J. &amp; Forzano, L. B. (2018). Research methods for the behavioral sciences (6th ed.). </w:t>
      </w:r>
      <w:proofErr w:type="spellStart"/>
      <w:r w:rsidRPr="00E40290">
        <w:rPr>
          <w:rFonts w:ascii="Times New Roman" w:hAnsi="Times New Roman" w:cs="Times New Roman"/>
          <w:sz w:val="24"/>
          <w:szCs w:val="24"/>
        </w:rPr>
        <w:t>Cengage</w:t>
      </w:r>
      <w:proofErr w:type="spellEnd"/>
      <w:r w:rsidRPr="00E40290">
        <w:rPr>
          <w:rFonts w:ascii="Times New Roman" w:hAnsi="Times New Roman" w:cs="Times New Roman"/>
          <w:sz w:val="24"/>
          <w:szCs w:val="24"/>
        </w:rPr>
        <w:t xml:space="preserve"> Learning.</w:t>
      </w:r>
    </w:p>
    <w:p w14:paraId="7C6644ED" w14:textId="77777777" w:rsidR="00E40290" w:rsidRDefault="00E40290" w:rsidP="00E40290">
      <w:pPr>
        <w:bidi w:val="0"/>
        <w:spacing w:before="100" w:beforeAutospacing="1" w:after="100" w:afterAutospacing="1"/>
        <w:divId w:val="709960358"/>
        <w:rPr>
          <w:rFonts w:ascii="Times New Roman" w:hAnsi="Times New Roman" w:cs="Times New Roman"/>
          <w:sz w:val="24"/>
          <w:szCs w:val="24"/>
          <w:rtl/>
        </w:rPr>
      </w:pPr>
      <w:r w:rsidRPr="00E40290">
        <w:rPr>
          <w:rFonts w:ascii="Times New Roman" w:hAnsi="Times New Roman" w:cs="Times New Roman"/>
          <w:sz w:val="24"/>
          <w:szCs w:val="24"/>
        </w:rPr>
        <w:t xml:space="preserve">McGlade, D., &amp; </w:t>
      </w:r>
      <w:proofErr w:type="spellStart"/>
      <w:r w:rsidRPr="00E40290">
        <w:rPr>
          <w:rFonts w:ascii="Times New Roman" w:hAnsi="Times New Roman" w:cs="Times New Roman"/>
          <w:sz w:val="24"/>
          <w:szCs w:val="24"/>
        </w:rPr>
        <w:t>Pierscionek</w:t>
      </w:r>
      <w:proofErr w:type="spellEnd"/>
      <w:r w:rsidRPr="00E40290">
        <w:rPr>
          <w:rFonts w:ascii="Times New Roman" w:hAnsi="Times New Roman" w:cs="Times New Roman"/>
          <w:sz w:val="24"/>
          <w:szCs w:val="24"/>
        </w:rPr>
        <w:t xml:space="preserve">, B. (2013). Can education alter attitudes, </w:t>
      </w:r>
      <w:proofErr w:type="spellStart"/>
      <w:r w:rsidRPr="00E40290">
        <w:rPr>
          <w:rFonts w:ascii="Times New Roman" w:hAnsi="Times New Roman" w:cs="Times New Roman"/>
          <w:sz w:val="24"/>
          <w:szCs w:val="24"/>
        </w:rPr>
        <w:t>behaviour</w:t>
      </w:r>
      <w:proofErr w:type="spellEnd"/>
      <w:r w:rsidRPr="00E40290">
        <w:rPr>
          <w:rFonts w:ascii="Times New Roman" w:hAnsi="Times New Roman" w:cs="Times New Roman"/>
          <w:sz w:val="24"/>
          <w:szCs w:val="24"/>
        </w:rPr>
        <w:t xml:space="preserve"> and knowledge about organ donation? A pretest–post-test study. </w:t>
      </w:r>
      <w:r w:rsidRPr="00E40290">
        <w:rPr>
          <w:rFonts w:ascii="Times New Roman" w:hAnsi="Times New Roman" w:cs="Times New Roman"/>
          <w:i/>
          <w:iCs/>
          <w:sz w:val="24"/>
          <w:szCs w:val="24"/>
        </w:rPr>
        <w:t>BMJ open</w:t>
      </w:r>
      <w:r w:rsidRPr="00E40290">
        <w:rPr>
          <w:rFonts w:ascii="Times New Roman" w:hAnsi="Times New Roman" w:cs="Times New Roman"/>
          <w:sz w:val="24"/>
          <w:szCs w:val="24"/>
        </w:rPr>
        <w:t>, </w:t>
      </w:r>
      <w:r w:rsidRPr="00E40290">
        <w:rPr>
          <w:rFonts w:ascii="Times New Roman" w:hAnsi="Times New Roman" w:cs="Times New Roman"/>
          <w:i/>
          <w:iCs/>
          <w:sz w:val="24"/>
          <w:szCs w:val="24"/>
        </w:rPr>
        <w:t>3</w:t>
      </w:r>
      <w:r w:rsidRPr="00E40290">
        <w:rPr>
          <w:rFonts w:ascii="Times New Roman" w:hAnsi="Times New Roman" w:cs="Times New Roman"/>
          <w:sz w:val="24"/>
          <w:szCs w:val="24"/>
        </w:rPr>
        <w:t>(12), e003961. </w:t>
      </w:r>
      <w:proofErr w:type="spellStart"/>
      <w:r w:rsidRPr="00E40290">
        <w:rPr>
          <w:rFonts w:ascii="Times New Roman" w:hAnsi="Times New Roman" w:cs="Times New Roman"/>
          <w:sz w:val="24"/>
          <w:szCs w:val="24"/>
        </w:rPr>
        <w:t>doi</w:t>
      </w:r>
      <w:proofErr w:type="spellEnd"/>
      <w:r w:rsidRPr="00E40290">
        <w:rPr>
          <w:rFonts w:ascii="Times New Roman" w:hAnsi="Times New Roman" w:cs="Times New Roman"/>
          <w:sz w:val="24"/>
          <w:szCs w:val="24"/>
        </w:rPr>
        <w:t>: 10.1136/</w:t>
      </w:r>
      <w:proofErr w:type="spellStart"/>
      <w:r w:rsidRPr="00E40290">
        <w:rPr>
          <w:rFonts w:ascii="Times New Roman" w:hAnsi="Times New Roman" w:cs="Times New Roman"/>
          <w:sz w:val="24"/>
          <w:szCs w:val="24"/>
        </w:rPr>
        <w:t>bmjopen-2013-003961</w:t>
      </w:r>
      <w:proofErr w:type="spellEnd"/>
    </w:p>
    <w:p w14:paraId="7A6F208B" w14:textId="77777777" w:rsidR="00E40290" w:rsidRDefault="004D12DD" w:rsidP="00E40290">
      <w:pPr>
        <w:bidi w:val="0"/>
        <w:spacing w:before="100" w:beforeAutospacing="1" w:after="100" w:afterAutospacing="1"/>
        <w:divId w:val="709960358"/>
        <w:rPr>
          <w:rFonts w:ascii="Times New Roman" w:hAnsi="Times New Roman" w:cs="Times New Roman"/>
          <w:b/>
          <w:bCs/>
          <w:sz w:val="24"/>
          <w:szCs w:val="24"/>
          <w:rtl/>
        </w:rPr>
      </w:pPr>
      <w:r w:rsidRPr="00005557">
        <w:rPr>
          <w:rFonts w:ascii="Times New Roman" w:hAnsi="Times New Roman" w:cs="Times New Roman" w:hint="cs"/>
          <w:b/>
          <w:bCs/>
          <w:sz w:val="24"/>
          <w:szCs w:val="24"/>
          <w:rtl/>
        </w:rPr>
        <w:t>Fourth peer post</w:t>
      </w:r>
      <w:r>
        <w:rPr>
          <w:rFonts w:ascii="Times New Roman" w:hAnsi="Times New Roman" w:cs="Times New Roman" w:hint="cs"/>
          <w:sz w:val="24"/>
          <w:szCs w:val="24"/>
          <w:rtl/>
        </w:rPr>
        <w:t xml:space="preserve"> </w:t>
      </w:r>
    </w:p>
    <w:p w14:paraId="14407CCB" w14:textId="77777777" w:rsidR="00F85AB9" w:rsidRPr="00F85AB9" w:rsidRDefault="00F85AB9" w:rsidP="00F85AB9">
      <w:pPr>
        <w:bidi w:val="0"/>
        <w:spacing w:before="100" w:beforeAutospacing="1" w:after="100" w:afterAutospacing="1"/>
        <w:divId w:val="541749008"/>
        <w:rPr>
          <w:rFonts w:ascii="Times New Roman" w:hAnsi="Times New Roman" w:cs="Times New Roman"/>
          <w:sz w:val="24"/>
          <w:szCs w:val="24"/>
        </w:rPr>
      </w:pPr>
      <w:r w:rsidRPr="00F85AB9">
        <w:rPr>
          <w:rFonts w:ascii="Times New Roman" w:hAnsi="Times New Roman" w:cs="Times New Roman"/>
          <w:sz w:val="24"/>
          <w:szCs w:val="24"/>
        </w:rPr>
        <w:t>Cross-sectional research designs are defined as studies that compares different population groups at a specific point in time (</w:t>
      </w:r>
      <w:proofErr w:type="spellStart"/>
      <w:r w:rsidRPr="00F85AB9">
        <w:rPr>
          <w:rFonts w:ascii="Times New Roman" w:hAnsi="Times New Roman" w:cs="Times New Roman"/>
          <w:sz w:val="24"/>
          <w:szCs w:val="24"/>
        </w:rPr>
        <w:t>Gravetter</w:t>
      </w:r>
      <w:proofErr w:type="spellEnd"/>
      <w:r w:rsidRPr="00F85AB9">
        <w:rPr>
          <w:rFonts w:ascii="Times New Roman" w:hAnsi="Times New Roman" w:cs="Times New Roman"/>
          <w:sz w:val="24"/>
          <w:szCs w:val="24"/>
        </w:rPr>
        <w:t xml:space="preserve"> &amp; Forzano, 2018). While cross-sectional studies are easier to conduct than longitudinal studies, they give a less-than-accurate picture of the current population. This particular research design fails to </w:t>
      </w:r>
      <w:r w:rsidRPr="00F85AB9">
        <w:rPr>
          <w:rFonts w:ascii="Times New Roman" w:hAnsi="Times New Roman" w:cs="Times New Roman"/>
          <w:sz w:val="24"/>
          <w:szCs w:val="24"/>
        </w:rPr>
        <w:lastRenderedPageBreak/>
        <w:t>account for generational differences that often occur among the world's cultural populations. </w:t>
      </w:r>
    </w:p>
    <w:p w14:paraId="09003AD0" w14:textId="77777777" w:rsidR="00F85AB9" w:rsidRPr="00F85AB9" w:rsidRDefault="00F85AB9" w:rsidP="00F85AB9">
      <w:pPr>
        <w:bidi w:val="0"/>
        <w:spacing w:before="100" w:beforeAutospacing="1" w:after="100" w:afterAutospacing="1"/>
        <w:divId w:val="541749008"/>
        <w:rPr>
          <w:rFonts w:ascii="Times New Roman" w:hAnsi="Times New Roman" w:cs="Times New Roman"/>
          <w:sz w:val="24"/>
          <w:szCs w:val="24"/>
        </w:rPr>
      </w:pPr>
      <w:r w:rsidRPr="00F85AB9">
        <w:rPr>
          <w:rFonts w:ascii="Times New Roman" w:hAnsi="Times New Roman" w:cs="Times New Roman"/>
          <w:sz w:val="24"/>
          <w:szCs w:val="24"/>
        </w:rPr>
        <w:t>The example of a cross-sectional study that I found explored differences in tobacco use in various countries around the world. While the study itself looked at global surveys conducted between 2008-2010, all these surveys were of a cross-sectional design. Among the 16 countries surveyed over the course of those two years were Brazil, Russia, Egypt, Poland, and Bangladesh, as well as several other upper-, middle-, and low-income countries. There is no obvious hypothesis presented in this research article, as the authors seemed more focused on analysis and presentation of the data. </w:t>
      </w:r>
    </w:p>
    <w:p w14:paraId="68DCE07A" w14:textId="77777777" w:rsidR="00F85AB9" w:rsidRPr="00F85AB9" w:rsidRDefault="00F85AB9" w:rsidP="00F85AB9">
      <w:pPr>
        <w:bidi w:val="0"/>
        <w:spacing w:before="100" w:beforeAutospacing="1" w:after="100" w:afterAutospacing="1"/>
        <w:divId w:val="541749008"/>
        <w:rPr>
          <w:rFonts w:ascii="Times New Roman" w:hAnsi="Times New Roman" w:cs="Times New Roman"/>
          <w:sz w:val="24"/>
          <w:szCs w:val="24"/>
        </w:rPr>
      </w:pPr>
      <w:r w:rsidRPr="00F85AB9">
        <w:rPr>
          <w:rFonts w:ascii="Times New Roman" w:hAnsi="Times New Roman" w:cs="Times New Roman"/>
          <w:sz w:val="24"/>
          <w:szCs w:val="24"/>
        </w:rPr>
        <w:t>The data showed various average tobacco usage among countries of several different income levels. Tobacco use in Brazil among the male population, for example, averaged out to be only 21.6%, while smoking among the female population was calculated to be 13.1%. In Russia, however, smoking among the male population was found to be as high as 60.2%, while female smokers were found to make up 21.7% of the population. Overall, there was no consistency in increases or decreases in smoking based on the countries average income levels. </w:t>
      </w:r>
    </w:p>
    <w:p w14:paraId="7C9C9AE2" w14:textId="77777777" w:rsidR="00F85AB9" w:rsidRPr="00F85AB9" w:rsidRDefault="00F85AB9" w:rsidP="00F85AB9">
      <w:pPr>
        <w:bidi w:val="0"/>
        <w:spacing w:before="100" w:beforeAutospacing="1" w:after="100" w:afterAutospacing="1"/>
        <w:divId w:val="541749008"/>
        <w:rPr>
          <w:rFonts w:ascii="Times New Roman" w:hAnsi="Times New Roman" w:cs="Times New Roman"/>
          <w:sz w:val="24"/>
          <w:szCs w:val="24"/>
        </w:rPr>
      </w:pPr>
      <w:r w:rsidRPr="00F85AB9">
        <w:rPr>
          <w:rFonts w:ascii="inherit" w:hAnsi="inherit" w:cs="Times New Roman"/>
          <w:sz w:val="24"/>
          <w:szCs w:val="24"/>
        </w:rPr>
        <w:t>Some limitations to this study could be a failure to account for possible generational differences between old and new smokers. Are smokers who are 50+ years old smoking more than those who are only 20+ years old? Could it be that most of the smoking is being dome by teenagers and young people? These questions are not answered in this particular study. A longitudinal study may have been better for this particular research subject, as it may have offered insight into potential age-related increases or decreases in tobacco use.  </w:t>
      </w:r>
    </w:p>
    <w:p w14:paraId="1EEEC5E4" w14:textId="77777777" w:rsidR="00F85AB9" w:rsidRPr="00F85AB9" w:rsidRDefault="00F85AB9" w:rsidP="00F85AB9">
      <w:pPr>
        <w:bidi w:val="0"/>
        <w:spacing w:before="100" w:beforeAutospacing="1" w:after="100" w:afterAutospacing="1"/>
        <w:divId w:val="541749008"/>
        <w:rPr>
          <w:rFonts w:ascii="Times New Roman" w:hAnsi="Times New Roman" w:cs="Times New Roman"/>
          <w:sz w:val="24"/>
          <w:szCs w:val="24"/>
        </w:rPr>
      </w:pPr>
      <w:proofErr w:type="spellStart"/>
      <w:r w:rsidRPr="00F85AB9">
        <w:rPr>
          <w:rFonts w:ascii="Times New Roman" w:hAnsi="Times New Roman" w:cs="Times New Roman"/>
          <w:sz w:val="24"/>
          <w:szCs w:val="24"/>
        </w:rPr>
        <w:t>Gravetter</w:t>
      </w:r>
      <w:proofErr w:type="spellEnd"/>
      <w:r w:rsidRPr="00F85AB9">
        <w:rPr>
          <w:rFonts w:ascii="Times New Roman" w:hAnsi="Times New Roman" w:cs="Times New Roman"/>
          <w:sz w:val="24"/>
          <w:szCs w:val="24"/>
        </w:rPr>
        <w:t xml:space="preserve">, F. J. &amp; Forzano, L. B. (2018). Research methods for the behavioral sciences (6th ed.). </w:t>
      </w:r>
      <w:proofErr w:type="spellStart"/>
      <w:r w:rsidRPr="00F85AB9">
        <w:rPr>
          <w:rFonts w:ascii="Times New Roman" w:hAnsi="Times New Roman" w:cs="Times New Roman"/>
          <w:sz w:val="24"/>
          <w:szCs w:val="24"/>
        </w:rPr>
        <w:t>Cengage</w:t>
      </w:r>
      <w:proofErr w:type="spellEnd"/>
      <w:r w:rsidRPr="00F85AB9">
        <w:rPr>
          <w:rFonts w:ascii="Times New Roman" w:hAnsi="Times New Roman" w:cs="Times New Roman"/>
          <w:sz w:val="24"/>
          <w:szCs w:val="24"/>
        </w:rPr>
        <w:t xml:space="preserve"> Learning.</w:t>
      </w:r>
    </w:p>
    <w:p w14:paraId="492A83FC" w14:textId="77777777" w:rsidR="00F85AB9" w:rsidRPr="00F85AB9" w:rsidRDefault="00F85AB9" w:rsidP="00F85AB9">
      <w:pPr>
        <w:bidi w:val="0"/>
        <w:spacing w:before="100" w:beforeAutospacing="1" w:after="100" w:afterAutospacing="1"/>
        <w:divId w:val="541749008"/>
        <w:rPr>
          <w:rFonts w:ascii="Times New Roman" w:hAnsi="Times New Roman" w:cs="Times New Roman"/>
          <w:sz w:val="24"/>
          <w:szCs w:val="24"/>
        </w:rPr>
      </w:pPr>
      <w:proofErr w:type="spellStart"/>
      <w:r w:rsidRPr="00F85AB9">
        <w:rPr>
          <w:rFonts w:ascii="Times New Roman" w:hAnsi="Times New Roman" w:cs="Times New Roman"/>
          <w:sz w:val="24"/>
          <w:szCs w:val="24"/>
        </w:rPr>
        <w:t>Giovino</w:t>
      </w:r>
      <w:proofErr w:type="spellEnd"/>
      <w:r w:rsidRPr="00F85AB9">
        <w:rPr>
          <w:rFonts w:ascii="Times New Roman" w:hAnsi="Times New Roman" w:cs="Times New Roman"/>
          <w:sz w:val="24"/>
          <w:szCs w:val="24"/>
        </w:rPr>
        <w:t xml:space="preserve">, G. A., </w:t>
      </w:r>
      <w:proofErr w:type="spellStart"/>
      <w:r w:rsidRPr="00F85AB9">
        <w:rPr>
          <w:rFonts w:ascii="Times New Roman" w:hAnsi="Times New Roman" w:cs="Times New Roman"/>
          <w:sz w:val="24"/>
          <w:szCs w:val="24"/>
        </w:rPr>
        <w:t>Mizra</w:t>
      </w:r>
      <w:proofErr w:type="spellEnd"/>
      <w:r w:rsidRPr="00F85AB9">
        <w:rPr>
          <w:rFonts w:ascii="Times New Roman" w:hAnsi="Times New Roman" w:cs="Times New Roman"/>
          <w:sz w:val="24"/>
          <w:szCs w:val="24"/>
        </w:rPr>
        <w:t xml:space="preserve">, S. A., </w:t>
      </w:r>
      <w:proofErr w:type="spellStart"/>
      <w:r w:rsidRPr="00F85AB9">
        <w:rPr>
          <w:rFonts w:ascii="Times New Roman" w:hAnsi="Times New Roman" w:cs="Times New Roman"/>
          <w:sz w:val="24"/>
          <w:szCs w:val="24"/>
        </w:rPr>
        <w:t>Samet</w:t>
      </w:r>
      <w:proofErr w:type="spellEnd"/>
      <w:r w:rsidRPr="00F85AB9">
        <w:rPr>
          <w:rFonts w:ascii="Times New Roman" w:hAnsi="Times New Roman" w:cs="Times New Roman"/>
          <w:sz w:val="24"/>
          <w:szCs w:val="24"/>
        </w:rPr>
        <w:t xml:space="preserve">, J. M., Gupta, P. C., Jarvis, M. J., </w:t>
      </w:r>
      <w:proofErr w:type="spellStart"/>
      <w:r w:rsidRPr="00F85AB9">
        <w:rPr>
          <w:rFonts w:ascii="Times New Roman" w:hAnsi="Times New Roman" w:cs="Times New Roman"/>
          <w:sz w:val="24"/>
          <w:szCs w:val="24"/>
        </w:rPr>
        <w:t>Neeraj</w:t>
      </w:r>
      <w:proofErr w:type="spellEnd"/>
      <w:r w:rsidRPr="00F85AB9">
        <w:rPr>
          <w:rFonts w:ascii="Times New Roman" w:hAnsi="Times New Roman" w:cs="Times New Roman"/>
          <w:sz w:val="24"/>
          <w:szCs w:val="24"/>
        </w:rPr>
        <w:t xml:space="preserve">, B., </w:t>
      </w:r>
      <w:proofErr w:type="spellStart"/>
      <w:r w:rsidRPr="00F85AB9">
        <w:rPr>
          <w:rFonts w:ascii="Times New Roman" w:hAnsi="Times New Roman" w:cs="Times New Roman"/>
          <w:sz w:val="24"/>
          <w:szCs w:val="24"/>
        </w:rPr>
        <w:t>Peto</w:t>
      </w:r>
      <w:proofErr w:type="spellEnd"/>
      <w:r w:rsidRPr="00F85AB9">
        <w:rPr>
          <w:rFonts w:ascii="Times New Roman" w:hAnsi="Times New Roman" w:cs="Times New Roman"/>
          <w:sz w:val="24"/>
          <w:szCs w:val="24"/>
        </w:rPr>
        <w:t xml:space="preserve">, R., ... </w:t>
      </w:r>
      <w:proofErr w:type="spellStart"/>
      <w:r w:rsidRPr="00F85AB9">
        <w:rPr>
          <w:rFonts w:ascii="Times New Roman" w:hAnsi="Times New Roman" w:cs="Times New Roman"/>
          <w:sz w:val="24"/>
          <w:szCs w:val="24"/>
        </w:rPr>
        <w:t>Asma</w:t>
      </w:r>
      <w:proofErr w:type="spellEnd"/>
      <w:r w:rsidRPr="00F85AB9">
        <w:rPr>
          <w:rFonts w:ascii="Times New Roman" w:hAnsi="Times New Roman" w:cs="Times New Roman"/>
          <w:sz w:val="24"/>
          <w:szCs w:val="24"/>
        </w:rPr>
        <w:t>, S. (2012). Tobacco use in 3 billion individuals from 16 countries: An analysis of nationally representative cross-sectional household surveys. </w:t>
      </w:r>
      <w:r w:rsidRPr="00F85AB9">
        <w:rPr>
          <w:rFonts w:ascii="Times New Roman" w:hAnsi="Times New Roman" w:cs="Times New Roman"/>
          <w:i/>
          <w:iCs/>
          <w:sz w:val="24"/>
          <w:szCs w:val="24"/>
        </w:rPr>
        <w:t>The Lancet</w:t>
      </w:r>
      <w:r w:rsidRPr="00F85AB9">
        <w:rPr>
          <w:rFonts w:ascii="Times New Roman" w:hAnsi="Times New Roman" w:cs="Times New Roman"/>
          <w:sz w:val="24"/>
          <w:szCs w:val="24"/>
        </w:rPr>
        <w:t>, </w:t>
      </w:r>
      <w:r w:rsidRPr="00F85AB9">
        <w:rPr>
          <w:rFonts w:ascii="Times New Roman" w:hAnsi="Times New Roman" w:cs="Times New Roman"/>
          <w:i/>
          <w:iCs/>
          <w:sz w:val="24"/>
          <w:szCs w:val="24"/>
        </w:rPr>
        <w:t>380</w:t>
      </w:r>
      <w:r w:rsidRPr="00F85AB9">
        <w:rPr>
          <w:rFonts w:ascii="Times New Roman" w:hAnsi="Times New Roman" w:cs="Times New Roman"/>
          <w:sz w:val="24"/>
          <w:szCs w:val="24"/>
        </w:rPr>
        <w:t>(9842), 668-679.  </w:t>
      </w:r>
      <w:hyperlink r:id="rId7" w:tgtFrame="_blank" w:tooltip="Persistent link using digital object identifier" w:history="1">
        <w:r w:rsidRPr="00F85AB9">
          <w:rPr>
            <w:rFonts w:ascii="Times New Roman" w:hAnsi="Times New Roman" w:cs="Times New Roman"/>
            <w:color w:val="007FFF"/>
            <w:sz w:val="24"/>
            <w:szCs w:val="24"/>
            <w:u w:val="single"/>
          </w:rPr>
          <w:t>https://doi.org/10.1016/S0140-6736(12)61085-X</w:t>
        </w:r>
      </w:hyperlink>
      <w:r w:rsidRPr="00F85AB9">
        <w:rPr>
          <w:rFonts w:ascii="Times New Roman" w:hAnsi="Times New Roman" w:cs="Times New Roman"/>
          <w:sz w:val="24"/>
          <w:szCs w:val="24"/>
        </w:rPr>
        <w:t> </w:t>
      </w:r>
    </w:p>
    <w:p w14:paraId="7F16314F" w14:textId="77777777" w:rsidR="00F85AB9" w:rsidRPr="00F85AB9" w:rsidRDefault="00F85AB9" w:rsidP="00F85AB9">
      <w:pPr>
        <w:bidi w:val="0"/>
        <w:divId w:val="1948341274"/>
        <w:rPr>
          <w:rFonts w:ascii="Times New Roman" w:eastAsia="Times New Roman" w:hAnsi="Times New Roman" w:cs="Times New Roman"/>
          <w:color w:val="556572"/>
          <w:sz w:val="24"/>
          <w:szCs w:val="24"/>
        </w:rPr>
      </w:pPr>
    </w:p>
    <w:p w14:paraId="116EB0F1" w14:textId="77777777" w:rsidR="00005557" w:rsidRPr="00E40290" w:rsidRDefault="00005557" w:rsidP="00005557">
      <w:pPr>
        <w:bidi w:val="0"/>
        <w:spacing w:before="100" w:beforeAutospacing="1" w:after="100" w:afterAutospacing="1"/>
        <w:divId w:val="709960358"/>
        <w:rPr>
          <w:rFonts w:ascii="Times New Roman" w:hAnsi="Times New Roman" w:cs="Times New Roman"/>
          <w:b/>
          <w:bCs/>
          <w:sz w:val="24"/>
          <w:szCs w:val="24"/>
        </w:rPr>
      </w:pPr>
    </w:p>
    <w:p w14:paraId="5E86D029" w14:textId="77777777" w:rsidR="00E40290" w:rsidRPr="00E40290" w:rsidRDefault="00E40290" w:rsidP="00E40290">
      <w:pPr>
        <w:bidi w:val="0"/>
        <w:divId w:val="998272518"/>
        <w:rPr>
          <w:rFonts w:ascii="Times New Roman" w:eastAsia="Times New Roman" w:hAnsi="Times New Roman" w:cs="Times New Roman"/>
          <w:color w:val="556572"/>
          <w:sz w:val="24"/>
          <w:szCs w:val="24"/>
        </w:rPr>
      </w:pPr>
    </w:p>
    <w:p w14:paraId="74ECA117" w14:textId="77777777" w:rsidR="00BA1BF8" w:rsidRPr="007C5E50" w:rsidRDefault="00BA1BF8" w:rsidP="00BA1BF8">
      <w:pPr>
        <w:pStyle w:val="a3"/>
        <w:divId w:val="1387678054"/>
        <w:rPr>
          <w:rFonts w:ascii="system-ui" w:hAnsi="system-ui"/>
          <w:b/>
          <w:bCs/>
          <w:color w:val="2D3B45"/>
        </w:rPr>
      </w:pPr>
    </w:p>
    <w:p w14:paraId="34ECD449" w14:textId="77777777" w:rsidR="00EE5F86" w:rsidRPr="00EE5F86" w:rsidRDefault="00EE5F86" w:rsidP="00EE5F86">
      <w:pPr>
        <w:bidi w:val="0"/>
        <w:divId w:val="509611606"/>
        <w:rPr>
          <w:rFonts w:ascii="Times New Roman" w:eastAsia="Times New Roman" w:hAnsi="Times New Roman" w:cs="Times New Roman"/>
          <w:color w:val="556572"/>
          <w:sz w:val="24"/>
          <w:szCs w:val="24"/>
        </w:rPr>
      </w:pPr>
    </w:p>
    <w:p w14:paraId="7C98C1C4" w14:textId="77777777" w:rsidR="00EE5F86" w:rsidRPr="007C5E50" w:rsidRDefault="00EE5F86">
      <w:pPr>
        <w:rPr>
          <w:sz w:val="24"/>
          <w:szCs w:val="24"/>
        </w:rPr>
      </w:pPr>
    </w:p>
    <w:sectPr w:rsidR="00EE5F86" w:rsidRPr="007C5E50" w:rsidSect="001808A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stem-ui">
    <w:altName w:val="Cambria"/>
    <w:panose1 w:val="020B0604020202020204"/>
    <w:charset w:val="00"/>
    <w:family w:val="roman"/>
    <w:pitch w:val="default"/>
  </w:font>
  <w:font w:name="inherit">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F86"/>
    <w:rsid w:val="00005557"/>
    <w:rsid w:val="000C7829"/>
    <w:rsid w:val="001808A2"/>
    <w:rsid w:val="00386EFC"/>
    <w:rsid w:val="004D12DD"/>
    <w:rsid w:val="004D5C61"/>
    <w:rsid w:val="00741279"/>
    <w:rsid w:val="007C5E50"/>
    <w:rsid w:val="009F7D8F"/>
    <w:rsid w:val="00B67528"/>
    <w:rsid w:val="00BA1BF8"/>
    <w:rsid w:val="00E40290"/>
    <w:rsid w:val="00EE5F86"/>
    <w:rsid w:val="00F7452E"/>
    <w:rsid w:val="00F85A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E5F624D"/>
  <w15:chartTrackingRefBased/>
  <w15:docId w15:val="{6C7836A4-B0D0-1E45-AC81-4F1D41C13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5F86"/>
    <w:pPr>
      <w:bidi w:val="0"/>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a0"/>
    <w:rsid w:val="00EE5F86"/>
  </w:style>
  <w:style w:type="character" w:styleId="a4">
    <w:name w:val="Emphasis"/>
    <w:basedOn w:val="a0"/>
    <w:uiPriority w:val="20"/>
    <w:qFormat/>
    <w:rsid w:val="00EE5F86"/>
    <w:rPr>
      <w:i/>
      <w:iCs/>
    </w:rPr>
  </w:style>
  <w:style w:type="character" w:styleId="Hyperlink">
    <w:name w:val="Hyperlink"/>
    <w:basedOn w:val="a0"/>
    <w:uiPriority w:val="99"/>
    <w:semiHidden/>
    <w:unhideWhenUsed/>
    <w:rsid w:val="00EE5F86"/>
    <w:rPr>
      <w:color w:val="0000FF"/>
      <w:u w:val="single"/>
    </w:rPr>
  </w:style>
  <w:style w:type="paragraph" w:customStyle="1" w:styleId="p1">
    <w:name w:val="p1"/>
    <w:basedOn w:val="a"/>
    <w:rsid w:val="00B67528"/>
    <w:pPr>
      <w:bidi w:val="0"/>
      <w:spacing w:before="100" w:beforeAutospacing="1" w:after="100" w:afterAutospacing="1"/>
    </w:pPr>
    <w:rPr>
      <w:rFonts w:ascii="Times New Roman" w:hAnsi="Times New Roman" w:cs="Times New Roman"/>
      <w:sz w:val="24"/>
      <w:szCs w:val="24"/>
    </w:rPr>
  </w:style>
  <w:style w:type="character" w:customStyle="1" w:styleId="s1">
    <w:name w:val="s1"/>
    <w:basedOn w:val="a0"/>
    <w:rsid w:val="00B67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611606">
      <w:marLeft w:val="0"/>
      <w:marRight w:val="0"/>
      <w:marTop w:val="180"/>
      <w:marBottom w:val="180"/>
      <w:divBdr>
        <w:top w:val="none" w:sz="0" w:space="0" w:color="auto"/>
        <w:left w:val="none" w:sz="0" w:space="0" w:color="auto"/>
        <w:bottom w:val="none" w:sz="0" w:space="0" w:color="auto"/>
        <w:right w:val="none" w:sz="0" w:space="0" w:color="auto"/>
      </w:divBdr>
      <w:divsChild>
        <w:div w:id="1387678054">
          <w:marLeft w:val="0"/>
          <w:marRight w:val="0"/>
          <w:marTop w:val="0"/>
          <w:marBottom w:val="0"/>
          <w:divBdr>
            <w:top w:val="none" w:sz="0" w:space="0" w:color="auto"/>
            <w:left w:val="none" w:sz="0" w:space="0" w:color="auto"/>
            <w:bottom w:val="none" w:sz="0" w:space="0" w:color="auto"/>
            <w:right w:val="none" w:sz="0" w:space="0" w:color="auto"/>
          </w:divBdr>
          <w:divsChild>
            <w:div w:id="58865724">
              <w:marLeft w:val="0"/>
              <w:marRight w:val="0"/>
              <w:marTop w:val="0"/>
              <w:marBottom w:val="0"/>
              <w:divBdr>
                <w:top w:val="none" w:sz="0" w:space="0" w:color="auto"/>
                <w:left w:val="none" w:sz="0" w:space="0" w:color="auto"/>
                <w:bottom w:val="none" w:sz="0" w:space="0" w:color="auto"/>
                <w:right w:val="none" w:sz="0" w:space="0" w:color="auto"/>
              </w:divBdr>
              <w:divsChild>
                <w:div w:id="709960358">
                  <w:marLeft w:val="0"/>
                  <w:marRight w:val="0"/>
                  <w:marTop w:val="0"/>
                  <w:marBottom w:val="0"/>
                  <w:divBdr>
                    <w:top w:val="none" w:sz="0" w:space="0" w:color="auto"/>
                    <w:left w:val="none" w:sz="0" w:space="0" w:color="auto"/>
                    <w:bottom w:val="none" w:sz="0" w:space="0" w:color="auto"/>
                    <w:right w:val="none" w:sz="0" w:space="0" w:color="auto"/>
                  </w:divBdr>
                  <w:divsChild>
                    <w:div w:id="358355397">
                      <w:marLeft w:val="0"/>
                      <w:marRight w:val="0"/>
                      <w:marTop w:val="0"/>
                      <w:marBottom w:val="0"/>
                      <w:divBdr>
                        <w:top w:val="none" w:sz="0" w:space="0" w:color="auto"/>
                        <w:left w:val="none" w:sz="0" w:space="0" w:color="auto"/>
                        <w:bottom w:val="none" w:sz="0" w:space="0" w:color="auto"/>
                        <w:right w:val="none" w:sz="0" w:space="0" w:color="auto"/>
                      </w:divBdr>
                      <w:divsChild>
                        <w:div w:id="541749008">
                          <w:marLeft w:val="0"/>
                          <w:marRight w:val="0"/>
                          <w:marTop w:val="0"/>
                          <w:marBottom w:val="0"/>
                          <w:divBdr>
                            <w:top w:val="none" w:sz="0" w:space="0" w:color="auto"/>
                            <w:left w:val="none" w:sz="0" w:space="0" w:color="auto"/>
                            <w:bottom w:val="none" w:sz="0" w:space="0" w:color="auto"/>
                            <w:right w:val="none" w:sz="0" w:space="0" w:color="auto"/>
                          </w:divBdr>
                        </w:div>
                        <w:div w:id="194834127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9827251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6593819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16/S0140-6736(12)61085-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wmil.instructure.com/users/101075/files/35227439?wrap=1&amp;verifier=0XItsmLl8TWc7ky00qaPYTA9b07cCQeRrn6oVfsK" TargetMode="External"/><Relationship Id="rId5" Type="http://schemas.openxmlformats.org/officeDocument/2006/relationships/hyperlink" Target="https://doi.org/10.1007/s10964-020-01214-0" TargetMode="External"/><Relationship Id="rId4" Type="http://schemas.openxmlformats.org/officeDocument/2006/relationships/hyperlink" Target="https://dictionary.apa.org/time-series-design" TargetMode="Externa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1786</Words>
  <Characters>10186</Characters>
  <Application>Microsoft Office Word</Application>
  <DocSecurity>0</DocSecurity>
  <Lines>84</Lines>
  <Paragraphs>23</Paragraphs>
  <ScaleCrop>false</ScaleCrop>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Ebtisam Hameed M Almehmadi</dc:creator>
  <cp:keywords/>
  <dc:description/>
  <cp:lastModifiedBy>Ebtisam Hameed M Almehmadi</cp:lastModifiedBy>
  <cp:revision>2</cp:revision>
  <dcterms:created xsi:type="dcterms:W3CDTF">2021-07-06T19:12:00Z</dcterms:created>
  <dcterms:modified xsi:type="dcterms:W3CDTF">2021-07-06T19:12:00Z</dcterms:modified>
</cp:coreProperties>
</file>