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22563" w14:textId="77777777" w:rsidR="00ED0F07" w:rsidRDefault="00ED0F07" w:rsidP="00ED0F07">
      <w:pPr>
        <w:spacing w:line="480" w:lineRule="auto"/>
        <w:jc w:val="center"/>
        <w:rPr>
          <w:rFonts w:ascii="Times New Roman" w:hAnsi="Times New Roman" w:cs="Times New Roman"/>
          <w:sz w:val="24"/>
          <w:szCs w:val="24"/>
          <w:lang w:val="en-US"/>
        </w:rPr>
      </w:pPr>
    </w:p>
    <w:p w14:paraId="74B0F711" w14:textId="77777777" w:rsidR="00ED0F07" w:rsidRDefault="00ED0F07" w:rsidP="00ED0F07">
      <w:pPr>
        <w:spacing w:line="480" w:lineRule="auto"/>
        <w:jc w:val="center"/>
        <w:rPr>
          <w:rFonts w:ascii="Times New Roman" w:hAnsi="Times New Roman" w:cs="Times New Roman"/>
          <w:sz w:val="24"/>
          <w:szCs w:val="24"/>
          <w:lang w:val="en-US"/>
        </w:rPr>
      </w:pPr>
    </w:p>
    <w:p w14:paraId="4403388B" w14:textId="77777777" w:rsidR="00ED0F07" w:rsidRDefault="00ED0F07" w:rsidP="00ED0F07">
      <w:pPr>
        <w:spacing w:line="480" w:lineRule="auto"/>
        <w:jc w:val="center"/>
        <w:rPr>
          <w:rFonts w:ascii="Times New Roman" w:hAnsi="Times New Roman" w:cs="Times New Roman"/>
          <w:sz w:val="24"/>
          <w:szCs w:val="24"/>
          <w:lang w:val="en-US"/>
        </w:rPr>
      </w:pPr>
    </w:p>
    <w:p w14:paraId="4A9CFF97" w14:textId="77777777" w:rsidR="00ED0F07" w:rsidRDefault="00ED0F07" w:rsidP="00ED0F07">
      <w:pPr>
        <w:spacing w:line="480" w:lineRule="auto"/>
        <w:jc w:val="center"/>
        <w:rPr>
          <w:rFonts w:ascii="Times New Roman" w:hAnsi="Times New Roman" w:cs="Times New Roman"/>
          <w:sz w:val="24"/>
          <w:szCs w:val="24"/>
          <w:lang w:val="en-US"/>
        </w:rPr>
      </w:pPr>
    </w:p>
    <w:p w14:paraId="04062E8F" w14:textId="77777777" w:rsidR="00ED0F07" w:rsidRDefault="00ED0F07" w:rsidP="00ED0F07">
      <w:pPr>
        <w:spacing w:line="480" w:lineRule="auto"/>
        <w:jc w:val="center"/>
        <w:rPr>
          <w:rFonts w:ascii="Times New Roman" w:hAnsi="Times New Roman" w:cs="Times New Roman"/>
          <w:sz w:val="24"/>
          <w:szCs w:val="24"/>
          <w:lang w:val="en-US"/>
        </w:rPr>
      </w:pPr>
    </w:p>
    <w:p w14:paraId="7C34CA3C" w14:textId="77777777" w:rsidR="00ED0F07" w:rsidRDefault="00ED0F07" w:rsidP="00ED0F07">
      <w:pPr>
        <w:spacing w:line="480" w:lineRule="auto"/>
        <w:jc w:val="center"/>
        <w:rPr>
          <w:rFonts w:ascii="Times New Roman" w:hAnsi="Times New Roman" w:cs="Times New Roman"/>
          <w:sz w:val="24"/>
          <w:szCs w:val="24"/>
          <w:lang w:val="en-US"/>
        </w:rPr>
      </w:pPr>
    </w:p>
    <w:p w14:paraId="103F5909" w14:textId="77777777" w:rsidR="00ED0F07" w:rsidRDefault="00ED0F07" w:rsidP="00ED0F07">
      <w:pPr>
        <w:spacing w:line="480" w:lineRule="auto"/>
        <w:jc w:val="center"/>
        <w:rPr>
          <w:rFonts w:ascii="Times New Roman" w:hAnsi="Times New Roman" w:cs="Times New Roman"/>
          <w:sz w:val="24"/>
          <w:szCs w:val="24"/>
          <w:lang w:val="en-US"/>
        </w:rPr>
      </w:pPr>
    </w:p>
    <w:p w14:paraId="69475DD9" w14:textId="77777777" w:rsidR="00ED0F07" w:rsidRPr="00ED0F07" w:rsidRDefault="00ED0F07" w:rsidP="00044F28">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t>Pensions</w:t>
      </w:r>
      <w:bookmarkStart w:id="0" w:name="_GoBack"/>
      <w:bookmarkEnd w:id="0"/>
    </w:p>
    <w:p w14:paraId="71E834C8" w14:textId="77777777" w:rsidR="00ED0F07" w:rsidRPr="00ED0F07" w:rsidRDefault="00ED0F07" w:rsidP="00044F28">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t>Name</w:t>
      </w:r>
    </w:p>
    <w:p w14:paraId="743DCC85" w14:textId="77777777" w:rsidR="00ED0F07" w:rsidRPr="00ED0F07" w:rsidRDefault="00ED0F07" w:rsidP="00044F28">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t>Institution Affiliations</w:t>
      </w:r>
    </w:p>
    <w:p w14:paraId="6E455045" w14:textId="77777777" w:rsidR="00044F28" w:rsidRDefault="00ED0F07" w:rsidP="00044F28">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t>Course Title</w:t>
      </w:r>
    </w:p>
    <w:p w14:paraId="72A61563" w14:textId="7C15E028" w:rsidR="00ED0F07" w:rsidRPr="00ED0F07" w:rsidRDefault="00ED0F07" w:rsidP="00044F28">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t>Date</w:t>
      </w:r>
    </w:p>
    <w:p w14:paraId="688F6975" w14:textId="77777777" w:rsidR="00ED0F07" w:rsidRPr="00ED0F07" w:rsidRDefault="00ED0F07" w:rsidP="00ED0F07">
      <w:pPr>
        <w:spacing w:line="480" w:lineRule="auto"/>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br w:type="page"/>
      </w:r>
    </w:p>
    <w:p w14:paraId="60CD8D09" w14:textId="77777777" w:rsidR="00301554" w:rsidRPr="00ED0F07" w:rsidRDefault="00961EDC"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lastRenderedPageBreak/>
        <w:t xml:space="preserve">The main concept of this paper is about pensions and how they apply to economics. The accounting </w:t>
      </w:r>
      <w:r w:rsidR="00DB1BB8" w:rsidRPr="00ED0F07">
        <w:rPr>
          <w:rFonts w:ascii="Times New Roman" w:hAnsi="Times New Roman" w:cs="Times New Roman"/>
          <w:sz w:val="24"/>
          <w:szCs w:val="24"/>
          <w:lang w:val="en-US"/>
        </w:rPr>
        <w:t>procedures</w:t>
      </w:r>
      <w:r w:rsidRPr="00ED0F07">
        <w:rPr>
          <w:rFonts w:ascii="Times New Roman" w:hAnsi="Times New Roman" w:cs="Times New Roman"/>
          <w:sz w:val="24"/>
          <w:szCs w:val="24"/>
          <w:lang w:val="en-US"/>
        </w:rPr>
        <w:t xml:space="preserve"> for measuring pension </w:t>
      </w:r>
      <w:r w:rsidR="00DB1BB8" w:rsidRPr="00ED0F07">
        <w:rPr>
          <w:rFonts w:ascii="Times New Roman" w:hAnsi="Times New Roman" w:cs="Times New Roman"/>
          <w:sz w:val="24"/>
          <w:szCs w:val="24"/>
          <w:lang w:val="en-US"/>
        </w:rPr>
        <w:t>obligations</w:t>
      </w:r>
      <w:r w:rsidRPr="00ED0F07">
        <w:rPr>
          <w:rFonts w:ascii="Times New Roman" w:hAnsi="Times New Roman" w:cs="Times New Roman"/>
          <w:sz w:val="24"/>
          <w:szCs w:val="24"/>
          <w:lang w:val="en-US"/>
        </w:rPr>
        <w:t xml:space="preserve"> are not consistence with the </w:t>
      </w:r>
      <w:r w:rsidR="00ED0F07" w:rsidRPr="00ED0F07">
        <w:rPr>
          <w:rFonts w:ascii="Times New Roman" w:hAnsi="Times New Roman" w:cs="Times New Roman"/>
          <w:sz w:val="24"/>
          <w:szCs w:val="24"/>
          <w:lang w:val="en-US"/>
        </w:rPr>
        <w:t>principles</w:t>
      </w:r>
      <w:r w:rsidRPr="00ED0F07">
        <w:rPr>
          <w:rFonts w:ascii="Times New Roman" w:hAnsi="Times New Roman" w:cs="Times New Roman"/>
          <w:sz w:val="24"/>
          <w:szCs w:val="24"/>
          <w:lang w:val="en-US"/>
        </w:rPr>
        <w:t xml:space="preserve"> of economics. It therefore appears that public pension funds community in defensive respondence to the economic criterion of </w:t>
      </w:r>
      <w:r w:rsidR="00ED0F07" w:rsidRPr="00ED0F07">
        <w:rPr>
          <w:rFonts w:ascii="Times New Roman" w:hAnsi="Times New Roman" w:cs="Times New Roman"/>
          <w:sz w:val="24"/>
          <w:szCs w:val="24"/>
          <w:lang w:val="en-US"/>
        </w:rPr>
        <w:t>pension</w:t>
      </w:r>
      <w:r w:rsidRPr="00ED0F07">
        <w:rPr>
          <w:rFonts w:ascii="Times New Roman" w:hAnsi="Times New Roman" w:cs="Times New Roman"/>
          <w:sz w:val="24"/>
          <w:szCs w:val="24"/>
          <w:lang w:val="en-US"/>
        </w:rPr>
        <w:t xml:space="preserve"> accounting rules and does not really consider the whatever the </w:t>
      </w:r>
      <w:r w:rsidR="00ED0F07" w:rsidRPr="00ED0F07">
        <w:rPr>
          <w:rFonts w:ascii="Times New Roman" w:hAnsi="Times New Roman" w:cs="Times New Roman"/>
          <w:sz w:val="24"/>
          <w:szCs w:val="24"/>
          <w:lang w:val="en-US"/>
        </w:rPr>
        <w:t>principles</w:t>
      </w:r>
      <w:r w:rsidRPr="00ED0F07">
        <w:rPr>
          <w:rFonts w:ascii="Times New Roman" w:hAnsi="Times New Roman" w:cs="Times New Roman"/>
          <w:sz w:val="24"/>
          <w:szCs w:val="24"/>
          <w:lang w:val="en-US"/>
        </w:rPr>
        <w:t xml:space="preserve"> of economics are trying to say. The rules of accounting pension are inconsistent with economics in that pension accounting rules introduce confusion to very straightforward set of questions. </w:t>
      </w:r>
    </w:p>
    <w:p w14:paraId="48A882D0" w14:textId="77777777" w:rsidR="00E81EE3" w:rsidRPr="00ED0F07" w:rsidRDefault="00961EDC" w:rsidP="00ED0F07">
      <w:pPr>
        <w:pStyle w:val="ListParagraph"/>
        <w:numPr>
          <w:ilvl w:val="0"/>
          <w:numId w:val="1"/>
        </w:numPr>
        <w:spacing w:line="480" w:lineRule="auto"/>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What will be the value of the promise if I was to discount the promise to account for a possible default?</w:t>
      </w:r>
      <w:r w:rsidR="00E81EE3" w:rsidRPr="00ED0F07">
        <w:rPr>
          <w:rFonts w:ascii="Times New Roman" w:hAnsi="Times New Roman" w:cs="Times New Roman"/>
          <w:sz w:val="24"/>
          <w:szCs w:val="24"/>
          <w:lang w:val="en-US"/>
        </w:rPr>
        <w:t xml:space="preserve"> </w:t>
      </w:r>
    </w:p>
    <w:p w14:paraId="03AF38A9" w14:textId="77777777" w:rsidR="00961EDC" w:rsidRPr="00ED0F07" w:rsidRDefault="00961EDC" w:rsidP="00ED0F07">
      <w:pPr>
        <w:pStyle w:val="ListParagraph"/>
        <w:numPr>
          <w:ilvl w:val="0"/>
          <w:numId w:val="1"/>
        </w:numPr>
        <w:spacing w:line="480" w:lineRule="auto"/>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What would be the value of the promise if I was confident that the promise will be </w:t>
      </w:r>
      <w:r w:rsidR="00ED0F07" w:rsidRPr="00ED0F07">
        <w:rPr>
          <w:rFonts w:ascii="Times New Roman" w:hAnsi="Times New Roman" w:cs="Times New Roman"/>
          <w:sz w:val="24"/>
          <w:szCs w:val="24"/>
          <w:lang w:val="en-US"/>
        </w:rPr>
        <w:t>honored</w:t>
      </w:r>
      <w:r w:rsidRPr="00ED0F07">
        <w:rPr>
          <w:rFonts w:ascii="Times New Roman" w:hAnsi="Times New Roman" w:cs="Times New Roman"/>
          <w:sz w:val="24"/>
          <w:szCs w:val="24"/>
          <w:lang w:val="en-US"/>
        </w:rPr>
        <w:t>?</w:t>
      </w:r>
    </w:p>
    <w:p w14:paraId="741D6FBA" w14:textId="77777777" w:rsidR="00E81EE3" w:rsidRPr="00ED0F07" w:rsidRDefault="00961EDC" w:rsidP="00ED0F07">
      <w:pPr>
        <w:pStyle w:val="ListParagraph"/>
        <w:numPr>
          <w:ilvl w:val="0"/>
          <w:numId w:val="1"/>
        </w:numPr>
        <w:spacing w:line="480" w:lineRule="auto"/>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What would be the value of collateral required to ensure that </w:t>
      </w:r>
      <w:r w:rsidR="00ED0F07" w:rsidRPr="00ED0F07">
        <w:rPr>
          <w:rFonts w:ascii="Times New Roman" w:hAnsi="Times New Roman" w:cs="Times New Roman"/>
          <w:sz w:val="24"/>
          <w:szCs w:val="24"/>
          <w:lang w:val="en-US"/>
        </w:rPr>
        <w:t>there</w:t>
      </w:r>
      <w:r w:rsidRPr="00ED0F07">
        <w:rPr>
          <w:rFonts w:ascii="Times New Roman" w:hAnsi="Times New Roman" w:cs="Times New Roman"/>
          <w:sz w:val="24"/>
          <w:szCs w:val="24"/>
          <w:lang w:val="en-US"/>
        </w:rPr>
        <w:t xml:space="preserve"> is half chance that the collateral is enough for compensation given that </w:t>
      </w:r>
      <w:r w:rsidR="00E81EE3" w:rsidRPr="00ED0F07">
        <w:rPr>
          <w:rFonts w:ascii="Times New Roman" w:hAnsi="Times New Roman" w:cs="Times New Roman"/>
          <w:sz w:val="24"/>
          <w:szCs w:val="24"/>
          <w:lang w:val="en-US"/>
        </w:rPr>
        <w:t xml:space="preserve">expected return is on the collateral. </w:t>
      </w:r>
    </w:p>
    <w:p w14:paraId="28542596" w14:textId="77777777" w:rsidR="00E81EE3" w:rsidRPr="00ED0F07" w:rsidRDefault="00E81EE3"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For the case in question one, the banker is required to know the rate of </w:t>
      </w:r>
      <w:r w:rsidR="00ED0F07" w:rsidRPr="00ED0F07">
        <w:rPr>
          <w:rFonts w:ascii="Times New Roman" w:hAnsi="Times New Roman" w:cs="Times New Roman"/>
          <w:sz w:val="24"/>
          <w:szCs w:val="24"/>
          <w:lang w:val="en-US"/>
        </w:rPr>
        <w:t>interest</w:t>
      </w:r>
      <w:r w:rsidRPr="00ED0F07">
        <w:rPr>
          <w:rFonts w:ascii="Times New Roman" w:hAnsi="Times New Roman" w:cs="Times New Roman"/>
          <w:sz w:val="24"/>
          <w:szCs w:val="24"/>
          <w:lang w:val="en-US"/>
        </w:rPr>
        <w:t xml:space="preserve"> of the promises including the credit risk comparable to that of the promise. For the </w:t>
      </w:r>
      <w:r w:rsidR="00ED0F07" w:rsidRPr="00ED0F07">
        <w:rPr>
          <w:rFonts w:ascii="Times New Roman" w:hAnsi="Times New Roman" w:cs="Times New Roman"/>
          <w:sz w:val="24"/>
          <w:szCs w:val="24"/>
          <w:lang w:val="en-US"/>
        </w:rPr>
        <w:t>second</w:t>
      </w:r>
      <w:r w:rsidRPr="00ED0F07">
        <w:rPr>
          <w:rFonts w:ascii="Times New Roman" w:hAnsi="Times New Roman" w:cs="Times New Roman"/>
          <w:sz w:val="24"/>
          <w:szCs w:val="24"/>
          <w:lang w:val="en-US"/>
        </w:rPr>
        <w:t xml:space="preserve"> question, the banker is required to know the rate of </w:t>
      </w:r>
      <w:r w:rsidR="00ED0F07" w:rsidRPr="00ED0F07">
        <w:rPr>
          <w:rFonts w:ascii="Times New Roman" w:hAnsi="Times New Roman" w:cs="Times New Roman"/>
          <w:sz w:val="24"/>
          <w:szCs w:val="24"/>
          <w:lang w:val="en-US"/>
        </w:rPr>
        <w:t>interest</w:t>
      </w:r>
      <w:r w:rsidRPr="00ED0F07">
        <w:rPr>
          <w:rFonts w:ascii="Times New Roman" w:hAnsi="Times New Roman" w:cs="Times New Roman"/>
          <w:sz w:val="24"/>
          <w:szCs w:val="24"/>
          <w:lang w:val="en-US"/>
        </w:rPr>
        <w:t xml:space="preserve"> on secure promises. Lastly, the banker must have a point of view on the desired return on the collateral. Financial economics recognize that the three above questions are relevant but the problem is that neither GASB nor FASB rules address these questions. GASB’s recent rules miss the point since they allow </w:t>
      </w:r>
      <w:r w:rsidR="00ED0F07" w:rsidRPr="00ED0F07">
        <w:rPr>
          <w:rFonts w:ascii="Times New Roman" w:hAnsi="Times New Roman" w:cs="Times New Roman"/>
          <w:sz w:val="24"/>
          <w:szCs w:val="24"/>
          <w:lang w:val="en-US"/>
        </w:rPr>
        <w:t>founded</w:t>
      </w:r>
      <w:r w:rsidRPr="00ED0F07">
        <w:rPr>
          <w:rFonts w:ascii="Times New Roman" w:hAnsi="Times New Roman" w:cs="Times New Roman"/>
          <w:sz w:val="24"/>
          <w:szCs w:val="24"/>
          <w:lang w:val="en-US"/>
        </w:rPr>
        <w:t xml:space="preserve"> liabilities to continue being valued at the expected return on assets hence it introduces new </w:t>
      </w:r>
      <w:r w:rsidR="00ED0F07" w:rsidRPr="00ED0F07">
        <w:rPr>
          <w:rFonts w:ascii="Times New Roman" w:hAnsi="Times New Roman" w:cs="Times New Roman"/>
          <w:sz w:val="24"/>
          <w:szCs w:val="24"/>
          <w:lang w:val="en-US"/>
        </w:rPr>
        <w:t>abnormalities</w:t>
      </w:r>
      <w:r w:rsidRPr="00ED0F07">
        <w:rPr>
          <w:rFonts w:ascii="Times New Roman" w:hAnsi="Times New Roman" w:cs="Times New Roman"/>
          <w:sz w:val="24"/>
          <w:szCs w:val="24"/>
          <w:lang w:val="en-US"/>
        </w:rPr>
        <w:t xml:space="preserve"> instead of </w:t>
      </w:r>
      <w:r w:rsidR="00ED0F07" w:rsidRPr="00ED0F07">
        <w:rPr>
          <w:rFonts w:ascii="Times New Roman" w:hAnsi="Times New Roman" w:cs="Times New Roman"/>
          <w:sz w:val="24"/>
          <w:szCs w:val="24"/>
          <w:lang w:val="en-US"/>
        </w:rPr>
        <w:t>fixing</w:t>
      </w:r>
      <w:r w:rsidRPr="00ED0F07">
        <w:rPr>
          <w:rFonts w:ascii="Times New Roman" w:hAnsi="Times New Roman" w:cs="Times New Roman"/>
          <w:sz w:val="24"/>
          <w:szCs w:val="24"/>
          <w:lang w:val="en-US"/>
        </w:rPr>
        <w:t xml:space="preserve"> the problem</w:t>
      </w:r>
      <w:r w:rsidR="00ED0F07" w:rsidRPr="00ED0F07">
        <w:rPr>
          <w:rFonts w:ascii="Times New Roman" w:hAnsi="Times New Roman" w:cs="Times New Roman"/>
          <w:sz w:val="24"/>
          <w:szCs w:val="24"/>
          <w:lang w:val="en-US"/>
        </w:rPr>
        <w:t>, (</w:t>
      </w:r>
      <w:r w:rsidR="00ED0F07" w:rsidRPr="00ED0F07">
        <w:rPr>
          <w:rFonts w:ascii="Times New Roman" w:hAnsi="Times New Roman" w:cs="Times New Roman"/>
          <w:sz w:val="24"/>
          <w:szCs w:val="24"/>
          <w:shd w:val="clear" w:color="auto" w:fill="FFFFFF"/>
        </w:rPr>
        <w:t>Minahan, 2014).</w:t>
      </w:r>
    </w:p>
    <w:p w14:paraId="3F32BE70" w14:textId="77777777" w:rsidR="00E81EE3" w:rsidRPr="00ED0F07" w:rsidRDefault="00E81EE3"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The article also focuses on </w:t>
      </w:r>
      <w:r w:rsidR="00600F33" w:rsidRPr="00ED0F07">
        <w:rPr>
          <w:rFonts w:ascii="Times New Roman" w:hAnsi="Times New Roman" w:cs="Times New Roman"/>
          <w:sz w:val="24"/>
          <w:szCs w:val="24"/>
          <w:lang w:val="en-US"/>
        </w:rPr>
        <w:t xml:space="preserve">how poor decision making inhibits professionalism in the financial analysis. Opacity in financial analysis and decision making is a situation where pension managers have insufficient information about the cost of pension to their sponsor, the </w:t>
      </w:r>
      <w:r w:rsidR="00600F33" w:rsidRPr="00ED0F07">
        <w:rPr>
          <w:rFonts w:ascii="Times New Roman" w:hAnsi="Times New Roman" w:cs="Times New Roman"/>
          <w:sz w:val="24"/>
          <w:szCs w:val="24"/>
          <w:lang w:val="en-US"/>
        </w:rPr>
        <w:lastRenderedPageBreak/>
        <w:t xml:space="preserve">value of pensions to the participants and the financial situation of the fund. However, the problem of </w:t>
      </w:r>
      <w:r w:rsidR="00ED0F07" w:rsidRPr="00ED0F07">
        <w:rPr>
          <w:rFonts w:ascii="Times New Roman" w:hAnsi="Times New Roman" w:cs="Times New Roman"/>
          <w:sz w:val="24"/>
          <w:szCs w:val="24"/>
          <w:lang w:val="en-US"/>
        </w:rPr>
        <w:t>financial opacity is</w:t>
      </w:r>
      <w:r w:rsidR="00600F33" w:rsidRPr="00ED0F07">
        <w:rPr>
          <w:rFonts w:ascii="Times New Roman" w:hAnsi="Times New Roman" w:cs="Times New Roman"/>
          <w:sz w:val="24"/>
          <w:szCs w:val="24"/>
          <w:lang w:val="en-US"/>
        </w:rPr>
        <w:t xml:space="preserve"> very easy to regulate as it requires the pension management to define new terms and measures which will enable them focus on matters of financial analysis well. </w:t>
      </w:r>
    </w:p>
    <w:p w14:paraId="18C0AB74" w14:textId="77777777" w:rsidR="009F70B3" w:rsidRPr="00ED0F07" w:rsidRDefault="009F70B3"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The benefits of pension plan are </w:t>
      </w:r>
      <w:r w:rsidR="00DB1BB8" w:rsidRPr="00ED0F07">
        <w:rPr>
          <w:rFonts w:ascii="Times New Roman" w:hAnsi="Times New Roman" w:cs="Times New Roman"/>
          <w:sz w:val="24"/>
          <w:szCs w:val="24"/>
          <w:lang w:val="en-US"/>
        </w:rPr>
        <w:t>categorized</w:t>
      </w:r>
      <w:r w:rsidRPr="00ED0F07">
        <w:rPr>
          <w:rFonts w:ascii="Times New Roman" w:hAnsi="Times New Roman" w:cs="Times New Roman"/>
          <w:sz w:val="24"/>
          <w:szCs w:val="24"/>
          <w:lang w:val="en-US"/>
        </w:rPr>
        <w:t xml:space="preserve"> are classified according to the </w:t>
      </w:r>
      <w:r w:rsidR="00DB1BB8" w:rsidRPr="00ED0F07">
        <w:rPr>
          <w:rFonts w:ascii="Times New Roman" w:hAnsi="Times New Roman" w:cs="Times New Roman"/>
          <w:sz w:val="24"/>
          <w:szCs w:val="24"/>
          <w:lang w:val="en-US"/>
        </w:rPr>
        <w:t>quantity</w:t>
      </w:r>
      <w:r w:rsidRPr="00ED0F07">
        <w:rPr>
          <w:rFonts w:ascii="Times New Roman" w:hAnsi="Times New Roman" w:cs="Times New Roman"/>
          <w:sz w:val="24"/>
          <w:szCs w:val="24"/>
          <w:lang w:val="en-US"/>
        </w:rPr>
        <w:t xml:space="preserve"> of employers whose empl</w:t>
      </w:r>
      <w:r w:rsidR="00DB1BB8">
        <w:rPr>
          <w:rFonts w:ascii="Times New Roman" w:hAnsi="Times New Roman" w:cs="Times New Roman"/>
          <w:sz w:val="24"/>
          <w:szCs w:val="24"/>
          <w:lang w:val="en-US"/>
        </w:rPr>
        <w:t>oyees are given pensions via</w:t>
      </w:r>
      <w:r w:rsidRPr="00ED0F07">
        <w:rPr>
          <w:rFonts w:ascii="Times New Roman" w:hAnsi="Times New Roman" w:cs="Times New Roman"/>
          <w:sz w:val="24"/>
          <w:szCs w:val="24"/>
          <w:lang w:val="en-US"/>
        </w:rPr>
        <w:t xml:space="preserve"> the pension plan and on how the pension </w:t>
      </w:r>
      <w:r w:rsidR="00DB1BB8" w:rsidRPr="00ED0F07">
        <w:rPr>
          <w:rFonts w:ascii="Times New Roman" w:hAnsi="Times New Roman" w:cs="Times New Roman"/>
          <w:sz w:val="24"/>
          <w:szCs w:val="24"/>
          <w:lang w:val="en-US"/>
        </w:rPr>
        <w:t>responsibilities</w:t>
      </w:r>
      <w:r w:rsidRPr="00ED0F07">
        <w:rPr>
          <w:rFonts w:ascii="Times New Roman" w:hAnsi="Times New Roman" w:cs="Times New Roman"/>
          <w:sz w:val="24"/>
          <w:szCs w:val="24"/>
          <w:lang w:val="en-US"/>
        </w:rPr>
        <w:t xml:space="preserve"> and plan assets are </w:t>
      </w:r>
      <w:r w:rsidR="00DB1BB8" w:rsidRPr="00ED0F07">
        <w:rPr>
          <w:rFonts w:ascii="Times New Roman" w:hAnsi="Times New Roman" w:cs="Times New Roman"/>
          <w:sz w:val="24"/>
          <w:szCs w:val="24"/>
          <w:lang w:val="en-US"/>
        </w:rPr>
        <w:t>collective</w:t>
      </w:r>
      <w:r w:rsidRPr="00ED0F07">
        <w:rPr>
          <w:rFonts w:ascii="Times New Roman" w:hAnsi="Times New Roman" w:cs="Times New Roman"/>
          <w:sz w:val="24"/>
          <w:szCs w:val="24"/>
          <w:lang w:val="en-US"/>
        </w:rPr>
        <w:t xml:space="preserve">. These classifications are: </w:t>
      </w:r>
    </w:p>
    <w:p w14:paraId="327E2FAC" w14:textId="77777777" w:rsidR="009F70B3" w:rsidRPr="00ED0F07" w:rsidRDefault="009F70B3"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b/>
          <w:sz w:val="24"/>
          <w:szCs w:val="24"/>
          <w:lang w:val="en-US"/>
        </w:rPr>
        <w:t>Single employer plans:</w:t>
      </w:r>
      <w:r w:rsidRPr="00ED0F07">
        <w:rPr>
          <w:rFonts w:ascii="Times New Roman" w:hAnsi="Times New Roman" w:cs="Times New Roman"/>
          <w:sz w:val="24"/>
          <w:szCs w:val="24"/>
          <w:lang w:val="en-US"/>
        </w:rPr>
        <w:t xml:space="preserve"> Pension </w:t>
      </w:r>
      <w:r w:rsidR="00DB1BB8" w:rsidRPr="00ED0F07">
        <w:rPr>
          <w:rFonts w:ascii="Times New Roman" w:hAnsi="Times New Roman" w:cs="Times New Roman"/>
          <w:sz w:val="24"/>
          <w:szCs w:val="24"/>
          <w:lang w:val="en-US"/>
        </w:rPr>
        <w:t>reimbursements</w:t>
      </w:r>
      <w:r w:rsidRPr="00ED0F07">
        <w:rPr>
          <w:rFonts w:ascii="Times New Roman" w:hAnsi="Times New Roman" w:cs="Times New Roman"/>
          <w:sz w:val="24"/>
          <w:szCs w:val="24"/>
          <w:lang w:val="en-US"/>
        </w:rPr>
        <w:t xml:space="preserve"> are given to the </w:t>
      </w:r>
      <w:r w:rsidR="00DB1BB8" w:rsidRPr="00ED0F07">
        <w:rPr>
          <w:rFonts w:ascii="Times New Roman" w:hAnsi="Times New Roman" w:cs="Times New Roman"/>
          <w:sz w:val="24"/>
          <w:szCs w:val="24"/>
          <w:lang w:val="en-US"/>
        </w:rPr>
        <w:t>workers</w:t>
      </w:r>
      <w:r w:rsidRPr="00ED0F07">
        <w:rPr>
          <w:rFonts w:ascii="Times New Roman" w:hAnsi="Times New Roman" w:cs="Times New Roman"/>
          <w:sz w:val="24"/>
          <w:szCs w:val="24"/>
          <w:lang w:val="en-US"/>
        </w:rPr>
        <w:t xml:space="preserve"> of a single employer. </w:t>
      </w:r>
    </w:p>
    <w:p w14:paraId="2DF7AB9B" w14:textId="77777777" w:rsidR="009F70B3" w:rsidRPr="00ED0F07" w:rsidRDefault="009F70B3"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b/>
          <w:sz w:val="24"/>
          <w:szCs w:val="24"/>
          <w:lang w:val="en-US"/>
        </w:rPr>
        <w:t>Cost-sharing multi-employer plans:</w:t>
      </w:r>
      <w:r w:rsidR="00DB1BB8">
        <w:rPr>
          <w:rFonts w:ascii="Times New Roman" w:hAnsi="Times New Roman" w:cs="Times New Roman"/>
          <w:sz w:val="24"/>
          <w:szCs w:val="24"/>
          <w:lang w:val="en-US"/>
        </w:rPr>
        <w:t xml:space="preserve"> Pension reimbursements</w:t>
      </w:r>
      <w:r w:rsidRPr="00ED0F07">
        <w:rPr>
          <w:rFonts w:ascii="Times New Roman" w:hAnsi="Times New Roman" w:cs="Times New Roman"/>
          <w:sz w:val="24"/>
          <w:szCs w:val="24"/>
          <w:lang w:val="en-US"/>
        </w:rPr>
        <w:t xml:space="preserve"> are to employees of more than one </w:t>
      </w:r>
      <w:r w:rsidR="00DB1BB8" w:rsidRPr="00ED0F07">
        <w:rPr>
          <w:rFonts w:ascii="Times New Roman" w:hAnsi="Times New Roman" w:cs="Times New Roman"/>
          <w:sz w:val="24"/>
          <w:szCs w:val="24"/>
          <w:lang w:val="en-US"/>
        </w:rPr>
        <w:t>owner</w:t>
      </w:r>
      <w:r w:rsidRPr="00ED0F07">
        <w:rPr>
          <w:rFonts w:ascii="Times New Roman" w:hAnsi="Times New Roman" w:cs="Times New Roman"/>
          <w:sz w:val="24"/>
          <w:szCs w:val="24"/>
          <w:lang w:val="en-US"/>
        </w:rPr>
        <w:t xml:space="preserve">. </w:t>
      </w:r>
      <w:r w:rsidR="00F373B4" w:rsidRPr="00ED0F07">
        <w:rPr>
          <w:rFonts w:ascii="Times New Roman" w:hAnsi="Times New Roman" w:cs="Times New Roman"/>
          <w:sz w:val="24"/>
          <w:szCs w:val="24"/>
          <w:lang w:val="en-US"/>
        </w:rPr>
        <w:t xml:space="preserve">They are </w:t>
      </w:r>
      <w:r w:rsidR="00DB1BB8" w:rsidRPr="00ED0F07">
        <w:rPr>
          <w:rFonts w:ascii="Times New Roman" w:hAnsi="Times New Roman" w:cs="Times New Roman"/>
          <w:sz w:val="24"/>
          <w:szCs w:val="24"/>
          <w:lang w:val="en-US"/>
        </w:rPr>
        <w:t>assembled</w:t>
      </w:r>
      <w:r w:rsidR="00F373B4" w:rsidRPr="00ED0F07">
        <w:rPr>
          <w:rFonts w:ascii="Times New Roman" w:hAnsi="Times New Roman" w:cs="Times New Roman"/>
          <w:sz w:val="24"/>
          <w:szCs w:val="24"/>
          <w:lang w:val="en-US"/>
        </w:rPr>
        <w:t xml:space="preserve"> </w:t>
      </w:r>
      <w:r w:rsidR="00ED0F07" w:rsidRPr="00ED0F07">
        <w:rPr>
          <w:rFonts w:ascii="Times New Roman" w:hAnsi="Times New Roman" w:cs="Times New Roman"/>
          <w:sz w:val="24"/>
          <w:szCs w:val="24"/>
          <w:lang w:val="en-US"/>
        </w:rPr>
        <w:t>together</w:t>
      </w:r>
      <w:r w:rsidR="00F373B4" w:rsidRPr="00ED0F07">
        <w:rPr>
          <w:rFonts w:ascii="Times New Roman" w:hAnsi="Times New Roman" w:cs="Times New Roman"/>
          <w:sz w:val="24"/>
          <w:szCs w:val="24"/>
          <w:lang w:val="en-US"/>
        </w:rPr>
        <w:t xml:space="preserve"> and plan assets can be utilized to </w:t>
      </w:r>
      <w:r w:rsidR="00DB1BB8">
        <w:rPr>
          <w:rFonts w:ascii="Times New Roman" w:hAnsi="Times New Roman" w:cs="Times New Roman"/>
          <w:sz w:val="24"/>
          <w:szCs w:val="24"/>
          <w:lang w:val="en-US"/>
        </w:rPr>
        <w:t xml:space="preserve">compensate </w:t>
      </w:r>
      <w:r w:rsidR="00F373B4" w:rsidRPr="00ED0F07">
        <w:rPr>
          <w:rFonts w:ascii="Times New Roman" w:hAnsi="Times New Roman" w:cs="Times New Roman"/>
          <w:sz w:val="24"/>
          <w:szCs w:val="24"/>
          <w:lang w:val="en-US"/>
        </w:rPr>
        <w:t xml:space="preserve">the pension </w:t>
      </w:r>
      <w:r w:rsidR="00DB1BB8" w:rsidRPr="00ED0F07">
        <w:rPr>
          <w:rFonts w:ascii="Times New Roman" w:hAnsi="Times New Roman" w:cs="Times New Roman"/>
          <w:sz w:val="24"/>
          <w:szCs w:val="24"/>
          <w:lang w:val="en-US"/>
        </w:rPr>
        <w:t>reimbursements</w:t>
      </w:r>
      <w:r w:rsidR="00F373B4" w:rsidRPr="00ED0F07">
        <w:rPr>
          <w:rFonts w:ascii="Times New Roman" w:hAnsi="Times New Roman" w:cs="Times New Roman"/>
          <w:sz w:val="24"/>
          <w:szCs w:val="24"/>
          <w:lang w:val="en-US"/>
        </w:rPr>
        <w:t xml:space="preserve"> of any </w:t>
      </w:r>
      <w:r w:rsidR="00DB1BB8" w:rsidRPr="00ED0F07">
        <w:rPr>
          <w:rFonts w:ascii="Times New Roman" w:hAnsi="Times New Roman" w:cs="Times New Roman"/>
          <w:sz w:val="24"/>
          <w:szCs w:val="24"/>
          <w:lang w:val="en-US"/>
        </w:rPr>
        <w:t>manager</w:t>
      </w:r>
      <w:r w:rsidR="00DB1BB8">
        <w:rPr>
          <w:rFonts w:ascii="Times New Roman" w:hAnsi="Times New Roman" w:cs="Times New Roman"/>
          <w:sz w:val="24"/>
          <w:szCs w:val="24"/>
          <w:lang w:val="en-US"/>
        </w:rPr>
        <w:t xml:space="preserve"> who contributes pensions via</w:t>
      </w:r>
      <w:r w:rsidR="00ED0F07" w:rsidRPr="00ED0F07">
        <w:rPr>
          <w:rFonts w:ascii="Times New Roman" w:hAnsi="Times New Roman" w:cs="Times New Roman"/>
          <w:sz w:val="24"/>
          <w:szCs w:val="24"/>
          <w:lang w:val="en-US"/>
        </w:rPr>
        <w:t xml:space="preserve"> the shared pension plan, (</w:t>
      </w:r>
      <w:r w:rsidR="00ED0F07" w:rsidRPr="00ED0F07">
        <w:rPr>
          <w:rFonts w:ascii="Times New Roman" w:hAnsi="Times New Roman" w:cs="Times New Roman"/>
          <w:noProof/>
          <w:sz w:val="24"/>
          <w:szCs w:val="24"/>
          <w:shd w:val="clear" w:color="auto" w:fill="FFFFFF"/>
          <w:lang w:val="en-US"/>
        </w:rPr>
        <w:t xml:space="preserve">(Joseph, 2015). </w:t>
      </w:r>
    </w:p>
    <w:p w14:paraId="117F3626" w14:textId="77777777" w:rsidR="00ED0F07" w:rsidRPr="00ED0F07" w:rsidRDefault="00F373B4"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b/>
          <w:sz w:val="24"/>
          <w:szCs w:val="24"/>
          <w:lang w:val="en-US"/>
        </w:rPr>
        <w:t xml:space="preserve">Agent multi-employer: </w:t>
      </w:r>
      <w:r w:rsidRPr="00ED0F07">
        <w:rPr>
          <w:rFonts w:ascii="Times New Roman" w:hAnsi="Times New Roman" w:cs="Times New Roman"/>
          <w:sz w:val="24"/>
          <w:szCs w:val="24"/>
          <w:lang w:val="en-US"/>
        </w:rPr>
        <w:t xml:space="preserve">The </w:t>
      </w:r>
      <w:r w:rsidR="00DB1BB8" w:rsidRPr="00ED0F07">
        <w:rPr>
          <w:rFonts w:ascii="Times New Roman" w:hAnsi="Times New Roman" w:cs="Times New Roman"/>
          <w:sz w:val="24"/>
          <w:szCs w:val="24"/>
          <w:lang w:val="en-US"/>
        </w:rPr>
        <w:t>plot</w:t>
      </w:r>
      <w:r w:rsidRPr="00ED0F07">
        <w:rPr>
          <w:rFonts w:ascii="Times New Roman" w:hAnsi="Times New Roman" w:cs="Times New Roman"/>
          <w:sz w:val="24"/>
          <w:szCs w:val="24"/>
          <w:lang w:val="en-US"/>
        </w:rPr>
        <w:t xml:space="preserve"> assets are </w:t>
      </w:r>
      <w:r w:rsidR="00DB1BB8" w:rsidRPr="00ED0F07">
        <w:rPr>
          <w:rFonts w:ascii="Times New Roman" w:hAnsi="Times New Roman" w:cs="Times New Roman"/>
          <w:sz w:val="24"/>
          <w:szCs w:val="24"/>
          <w:lang w:val="en-US"/>
        </w:rPr>
        <w:t>combined</w:t>
      </w:r>
      <w:r w:rsidRPr="00ED0F07">
        <w:rPr>
          <w:rFonts w:ascii="Times New Roman" w:hAnsi="Times New Roman" w:cs="Times New Roman"/>
          <w:sz w:val="24"/>
          <w:szCs w:val="24"/>
          <w:lang w:val="en-US"/>
        </w:rPr>
        <w:t xml:space="preserve"> for the purposes of investing. However, </w:t>
      </w:r>
      <w:r w:rsidR="00DB1BB8" w:rsidRPr="00ED0F07">
        <w:rPr>
          <w:rFonts w:ascii="Times New Roman" w:hAnsi="Times New Roman" w:cs="Times New Roman"/>
          <w:sz w:val="24"/>
          <w:szCs w:val="24"/>
          <w:lang w:val="en-US"/>
        </w:rPr>
        <w:t>distinct</w:t>
      </w:r>
      <w:r w:rsidRPr="00ED0F07">
        <w:rPr>
          <w:rFonts w:ascii="Times New Roman" w:hAnsi="Times New Roman" w:cs="Times New Roman"/>
          <w:sz w:val="24"/>
          <w:szCs w:val="24"/>
          <w:lang w:val="en-US"/>
        </w:rPr>
        <w:t xml:space="preserve"> accounts are </w:t>
      </w:r>
      <w:r w:rsidR="00DB1BB8" w:rsidRPr="00ED0F07">
        <w:rPr>
          <w:rFonts w:ascii="Times New Roman" w:hAnsi="Times New Roman" w:cs="Times New Roman"/>
          <w:sz w:val="24"/>
          <w:szCs w:val="24"/>
          <w:lang w:val="en-US"/>
        </w:rPr>
        <w:t>kept</w:t>
      </w:r>
      <w:r w:rsidRPr="00ED0F07">
        <w:rPr>
          <w:rFonts w:ascii="Times New Roman" w:hAnsi="Times New Roman" w:cs="Times New Roman"/>
          <w:sz w:val="24"/>
          <w:szCs w:val="24"/>
          <w:lang w:val="en-US"/>
        </w:rPr>
        <w:t xml:space="preserve"> for </w:t>
      </w:r>
      <w:r w:rsidR="00DB1BB8" w:rsidRPr="00ED0F07">
        <w:rPr>
          <w:rFonts w:ascii="Times New Roman" w:hAnsi="Times New Roman" w:cs="Times New Roman"/>
          <w:sz w:val="24"/>
          <w:szCs w:val="24"/>
          <w:lang w:val="en-US"/>
        </w:rPr>
        <w:t>the</w:t>
      </w:r>
      <w:r w:rsidR="00DB1BB8">
        <w:rPr>
          <w:rFonts w:ascii="Times New Roman" w:hAnsi="Times New Roman" w:cs="Times New Roman"/>
          <w:sz w:val="24"/>
          <w:szCs w:val="24"/>
          <w:lang w:val="en-US"/>
        </w:rPr>
        <w:t xml:space="preserve"> </w:t>
      </w:r>
      <w:r w:rsidR="00DB1BB8" w:rsidRPr="00ED0F07">
        <w:rPr>
          <w:rFonts w:ascii="Times New Roman" w:hAnsi="Times New Roman" w:cs="Times New Roman"/>
          <w:sz w:val="24"/>
          <w:szCs w:val="24"/>
          <w:lang w:val="en-US"/>
        </w:rPr>
        <w:t>different</w:t>
      </w:r>
      <w:r w:rsidRPr="00ED0F07">
        <w:rPr>
          <w:rFonts w:ascii="Times New Roman" w:hAnsi="Times New Roman" w:cs="Times New Roman"/>
          <w:sz w:val="24"/>
          <w:szCs w:val="24"/>
          <w:lang w:val="en-US"/>
        </w:rPr>
        <w:t xml:space="preserve"> employer</w:t>
      </w:r>
      <w:r w:rsidR="00DB1BB8">
        <w:rPr>
          <w:rFonts w:ascii="Times New Roman" w:hAnsi="Times New Roman" w:cs="Times New Roman"/>
          <w:sz w:val="24"/>
          <w:szCs w:val="24"/>
          <w:lang w:val="en-US"/>
        </w:rPr>
        <w:t>s</w:t>
      </w:r>
      <w:r w:rsidRPr="00ED0F07">
        <w:rPr>
          <w:rFonts w:ascii="Times New Roman" w:hAnsi="Times New Roman" w:cs="Times New Roman"/>
          <w:sz w:val="24"/>
          <w:szCs w:val="24"/>
          <w:lang w:val="en-US"/>
        </w:rPr>
        <w:t xml:space="preserve"> such that the share of each employer’s </w:t>
      </w:r>
      <w:r w:rsidR="00DB1BB8" w:rsidRPr="00ED0F07">
        <w:rPr>
          <w:rFonts w:ascii="Times New Roman" w:hAnsi="Times New Roman" w:cs="Times New Roman"/>
          <w:sz w:val="24"/>
          <w:szCs w:val="24"/>
          <w:lang w:val="en-US"/>
        </w:rPr>
        <w:t>combined</w:t>
      </w:r>
      <w:r w:rsidRPr="00ED0F07">
        <w:rPr>
          <w:rFonts w:ascii="Times New Roman" w:hAnsi="Times New Roman" w:cs="Times New Roman"/>
          <w:sz w:val="24"/>
          <w:szCs w:val="24"/>
          <w:lang w:val="en-US"/>
        </w:rPr>
        <w:t xml:space="preserve"> assets is </w:t>
      </w:r>
      <w:r w:rsidR="00DB1BB8" w:rsidRPr="00ED0F07">
        <w:rPr>
          <w:rFonts w:ascii="Times New Roman" w:hAnsi="Times New Roman" w:cs="Times New Roman"/>
          <w:sz w:val="24"/>
          <w:szCs w:val="24"/>
          <w:lang w:val="en-US"/>
        </w:rPr>
        <w:t>legitimately</w:t>
      </w:r>
      <w:r w:rsidRPr="00ED0F07">
        <w:rPr>
          <w:rFonts w:ascii="Times New Roman" w:hAnsi="Times New Roman" w:cs="Times New Roman"/>
          <w:sz w:val="24"/>
          <w:szCs w:val="24"/>
          <w:lang w:val="en-US"/>
        </w:rPr>
        <w:t xml:space="preserve"> </w:t>
      </w:r>
      <w:r w:rsidR="00DB1BB8" w:rsidRPr="00ED0F07">
        <w:rPr>
          <w:rFonts w:ascii="Times New Roman" w:hAnsi="Times New Roman" w:cs="Times New Roman"/>
          <w:sz w:val="24"/>
          <w:szCs w:val="24"/>
          <w:lang w:val="en-US"/>
        </w:rPr>
        <w:t>accessible</w:t>
      </w:r>
      <w:r w:rsidRPr="00ED0F07">
        <w:rPr>
          <w:rFonts w:ascii="Times New Roman" w:hAnsi="Times New Roman" w:cs="Times New Roman"/>
          <w:sz w:val="24"/>
          <w:szCs w:val="24"/>
          <w:lang w:val="en-US"/>
        </w:rPr>
        <w:t xml:space="preserve"> for paying the pension </w:t>
      </w:r>
      <w:r w:rsidR="00DB1BB8" w:rsidRPr="00ED0F07">
        <w:rPr>
          <w:rFonts w:ascii="Times New Roman" w:hAnsi="Times New Roman" w:cs="Times New Roman"/>
          <w:sz w:val="24"/>
          <w:szCs w:val="24"/>
          <w:lang w:val="en-US"/>
        </w:rPr>
        <w:t>reimbursements</w:t>
      </w:r>
      <w:r w:rsidRPr="00ED0F07">
        <w:rPr>
          <w:rFonts w:ascii="Times New Roman" w:hAnsi="Times New Roman" w:cs="Times New Roman"/>
          <w:sz w:val="24"/>
          <w:szCs w:val="24"/>
          <w:lang w:val="en-US"/>
        </w:rPr>
        <w:t xml:space="preserve"> to </w:t>
      </w:r>
      <w:r w:rsidR="00DB1BB8" w:rsidRPr="00ED0F07">
        <w:rPr>
          <w:rFonts w:ascii="Times New Roman" w:hAnsi="Times New Roman" w:cs="Times New Roman"/>
          <w:sz w:val="24"/>
          <w:szCs w:val="24"/>
          <w:lang w:val="en-US"/>
        </w:rPr>
        <w:t>solitary</w:t>
      </w:r>
      <w:r w:rsidRPr="00ED0F07">
        <w:rPr>
          <w:rFonts w:ascii="Times New Roman" w:hAnsi="Times New Roman" w:cs="Times New Roman"/>
          <w:sz w:val="24"/>
          <w:szCs w:val="24"/>
          <w:lang w:val="en-US"/>
        </w:rPr>
        <w:t xml:space="preserve"> its </w:t>
      </w:r>
      <w:r w:rsidR="00DB1BB8" w:rsidRPr="00ED0F07">
        <w:rPr>
          <w:rFonts w:ascii="Times New Roman" w:hAnsi="Times New Roman" w:cs="Times New Roman"/>
          <w:sz w:val="24"/>
          <w:szCs w:val="24"/>
          <w:lang w:val="en-US"/>
        </w:rPr>
        <w:t>workers</w:t>
      </w:r>
      <w:r w:rsidRPr="00ED0F07">
        <w:rPr>
          <w:rFonts w:ascii="Times New Roman" w:hAnsi="Times New Roman" w:cs="Times New Roman"/>
          <w:sz w:val="24"/>
          <w:szCs w:val="24"/>
          <w:lang w:val="en-US"/>
        </w:rPr>
        <w:t xml:space="preserve">. </w:t>
      </w:r>
    </w:p>
    <w:p w14:paraId="584D054D" w14:textId="77777777" w:rsidR="00F373B4" w:rsidRPr="00ED0F07" w:rsidRDefault="00F373B4" w:rsidP="00ED0F07">
      <w:pPr>
        <w:spacing w:line="480" w:lineRule="auto"/>
        <w:ind w:firstLine="360"/>
        <w:jc w:val="both"/>
        <w:rPr>
          <w:rFonts w:ascii="Times New Roman" w:hAnsi="Times New Roman" w:cs="Times New Roman"/>
          <w:sz w:val="24"/>
          <w:szCs w:val="24"/>
          <w:lang w:val="en-US"/>
        </w:rPr>
      </w:pPr>
      <w:r w:rsidRPr="00ED0F07">
        <w:rPr>
          <w:rFonts w:ascii="Times New Roman" w:hAnsi="Times New Roman" w:cs="Times New Roman"/>
          <w:sz w:val="24"/>
          <w:szCs w:val="24"/>
          <w:lang w:val="en-US"/>
        </w:rPr>
        <w:t xml:space="preserve">In conclusion, there is need to start appreciating the need and importance of economics to </w:t>
      </w:r>
      <w:r w:rsidR="00ED0F07" w:rsidRPr="00ED0F07">
        <w:rPr>
          <w:rFonts w:ascii="Times New Roman" w:hAnsi="Times New Roman" w:cs="Times New Roman"/>
          <w:sz w:val="24"/>
          <w:szCs w:val="24"/>
          <w:lang w:val="en-US"/>
        </w:rPr>
        <w:t>valuation</w:t>
      </w:r>
      <w:r w:rsidRPr="00ED0F07">
        <w:rPr>
          <w:rFonts w:ascii="Times New Roman" w:hAnsi="Times New Roman" w:cs="Times New Roman"/>
          <w:sz w:val="24"/>
          <w:szCs w:val="24"/>
          <w:lang w:val="en-US"/>
        </w:rPr>
        <w:t xml:space="preserve"> of </w:t>
      </w:r>
      <w:r w:rsidR="00ED0F07" w:rsidRPr="00ED0F07">
        <w:rPr>
          <w:rFonts w:ascii="Times New Roman" w:hAnsi="Times New Roman" w:cs="Times New Roman"/>
          <w:sz w:val="24"/>
          <w:szCs w:val="24"/>
          <w:lang w:val="en-US"/>
        </w:rPr>
        <w:t>pension liabilities</w:t>
      </w:r>
      <w:r w:rsidRPr="00ED0F07">
        <w:rPr>
          <w:rFonts w:ascii="Times New Roman" w:hAnsi="Times New Roman" w:cs="Times New Roman"/>
          <w:sz w:val="24"/>
          <w:szCs w:val="24"/>
          <w:lang w:val="en-US"/>
        </w:rPr>
        <w:t xml:space="preserve">. The pension plan </w:t>
      </w:r>
      <w:r w:rsidR="00ED0F07" w:rsidRPr="00ED0F07">
        <w:rPr>
          <w:rFonts w:ascii="Times New Roman" w:hAnsi="Times New Roman" w:cs="Times New Roman"/>
          <w:sz w:val="24"/>
          <w:szCs w:val="24"/>
          <w:lang w:val="en-US"/>
        </w:rPr>
        <w:t>sponsors</w:t>
      </w:r>
      <w:r w:rsidRPr="00ED0F07">
        <w:rPr>
          <w:rFonts w:ascii="Times New Roman" w:hAnsi="Times New Roman" w:cs="Times New Roman"/>
          <w:sz w:val="24"/>
          <w:szCs w:val="24"/>
          <w:lang w:val="en-US"/>
        </w:rPr>
        <w:t xml:space="preserve"> and actuaries should also try to listen non-defensively and see the relevance of economics in the fields of pension funds. There ought to be a debate which focuses on what should be done on the financial state </w:t>
      </w:r>
      <w:r w:rsidR="002E3BFC" w:rsidRPr="00ED0F07">
        <w:rPr>
          <w:rFonts w:ascii="Times New Roman" w:hAnsi="Times New Roman" w:cs="Times New Roman"/>
          <w:sz w:val="24"/>
          <w:szCs w:val="24"/>
          <w:lang w:val="en-US"/>
        </w:rPr>
        <w:t xml:space="preserve">of </w:t>
      </w:r>
      <w:r w:rsidR="00ED0F07" w:rsidRPr="00ED0F07">
        <w:rPr>
          <w:rFonts w:ascii="Times New Roman" w:hAnsi="Times New Roman" w:cs="Times New Roman"/>
          <w:sz w:val="24"/>
          <w:szCs w:val="24"/>
          <w:lang w:val="en-US"/>
        </w:rPr>
        <w:t>pensions</w:t>
      </w:r>
      <w:r w:rsidR="002E3BFC" w:rsidRPr="00ED0F07">
        <w:rPr>
          <w:rFonts w:ascii="Times New Roman" w:hAnsi="Times New Roman" w:cs="Times New Roman"/>
          <w:sz w:val="24"/>
          <w:szCs w:val="24"/>
          <w:lang w:val="en-US"/>
        </w:rPr>
        <w:t xml:space="preserve"> </w:t>
      </w:r>
      <w:r w:rsidRPr="00ED0F07">
        <w:rPr>
          <w:rFonts w:ascii="Times New Roman" w:hAnsi="Times New Roman" w:cs="Times New Roman"/>
          <w:sz w:val="24"/>
          <w:szCs w:val="24"/>
          <w:lang w:val="en-US"/>
        </w:rPr>
        <w:t xml:space="preserve">which economic analysis </w:t>
      </w:r>
      <w:r w:rsidR="002E3BFC" w:rsidRPr="00ED0F07">
        <w:rPr>
          <w:rFonts w:ascii="Times New Roman" w:hAnsi="Times New Roman" w:cs="Times New Roman"/>
          <w:sz w:val="24"/>
          <w:szCs w:val="24"/>
          <w:lang w:val="en-US"/>
        </w:rPr>
        <w:t xml:space="preserve">brings forth into light. Transparency brought about by economic analysis can </w:t>
      </w:r>
      <w:r w:rsidR="00ED0F07" w:rsidRPr="00ED0F07">
        <w:rPr>
          <w:rFonts w:ascii="Times New Roman" w:hAnsi="Times New Roman" w:cs="Times New Roman"/>
          <w:sz w:val="24"/>
          <w:szCs w:val="24"/>
          <w:lang w:val="en-US"/>
        </w:rPr>
        <w:t>generate</w:t>
      </w:r>
      <w:r w:rsidR="002E3BFC" w:rsidRPr="00ED0F07">
        <w:rPr>
          <w:rFonts w:ascii="Times New Roman" w:hAnsi="Times New Roman" w:cs="Times New Roman"/>
          <w:sz w:val="24"/>
          <w:szCs w:val="24"/>
          <w:lang w:val="en-US"/>
        </w:rPr>
        <w:t xml:space="preserve"> a foundation for financial analysts, </w:t>
      </w:r>
      <w:r w:rsidR="00ED0F07" w:rsidRPr="00ED0F07">
        <w:rPr>
          <w:rFonts w:ascii="Times New Roman" w:hAnsi="Times New Roman" w:cs="Times New Roman"/>
          <w:sz w:val="24"/>
          <w:szCs w:val="24"/>
          <w:lang w:val="en-US"/>
        </w:rPr>
        <w:t>investments</w:t>
      </w:r>
      <w:r w:rsidR="002E3BFC" w:rsidRPr="00ED0F07">
        <w:rPr>
          <w:rFonts w:ascii="Times New Roman" w:hAnsi="Times New Roman" w:cs="Times New Roman"/>
          <w:sz w:val="24"/>
          <w:szCs w:val="24"/>
          <w:lang w:val="en-US"/>
        </w:rPr>
        <w:t xml:space="preserve"> advisors, actuaries and pension plan </w:t>
      </w:r>
      <w:r w:rsidR="00ED0F07" w:rsidRPr="00ED0F07">
        <w:rPr>
          <w:rFonts w:ascii="Times New Roman" w:hAnsi="Times New Roman" w:cs="Times New Roman"/>
          <w:sz w:val="24"/>
          <w:szCs w:val="24"/>
          <w:lang w:val="en-US"/>
        </w:rPr>
        <w:t>sponsors hence</w:t>
      </w:r>
      <w:r w:rsidR="002E3BFC" w:rsidRPr="00ED0F07">
        <w:rPr>
          <w:rFonts w:ascii="Times New Roman" w:hAnsi="Times New Roman" w:cs="Times New Roman"/>
          <w:sz w:val="24"/>
          <w:szCs w:val="24"/>
          <w:lang w:val="en-US"/>
        </w:rPr>
        <w:t xml:space="preserve"> leading to the best decision making in pension funds. </w:t>
      </w:r>
    </w:p>
    <w:p w14:paraId="1DD14F57" w14:textId="77777777" w:rsidR="00ED0F07" w:rsidRDefault="00ED0F07" w:rsidP="00ED0F0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br w:type="page"/>
      </w:r>
    </w:p>
    <w:p w14:paraId="01DD7375" w14:textId="77777777" w:rsidR="002E3BFC" w:rsidRPr="00ED0F07" w:rsidRDefault="002E3BFC" w:rsidP="00ED0F07">
      <w:pPr>
        <w:spacing w:line="480" w:lineRule="auto"/>
        <w:jc w:val="center"/>
        <w:rPr>
          <w:rFonts w:ascii="Times New Roman" w:hAnsi="Times New Roman" w:cs="Times New Roman"/>
          <w:sz w:val="24"/>
          <w:szCs w:val="24"/>
          <w:lang w:val="en-US"/>
        </w:rPr>
      </w:pPr>
      <w:r w:rsidRPr="00ED0F07">
        <w:rPr>
          <w:rFonts w:ascii="Times New Roman" w:hAnsi="Times New Roman" w:cs="Times New Roman"/>
          <w:sz w:val="24"/>
          <w:szCs w:val="24"/>
          <w:lang w:val="en-US"/>
        </w:rPr>
        <w:lastRenderedPageBreak/>
        <w:t>Reference</w:t>
      </w:r>
    </w:p>
    <w:p w14:paraId="27A3017C" w14:textId="77777777" w:rsidR="00ED0F07" w:rsidRPr="00ED0F07" w:rsidRDefault="002E3BFC" w:rsidP="00ED0F07">
      <w:pPr>
        <w:spacing w:line="480" w:lineRule="auto"/>
        <w:ind w:left="720" w:hanging="720"/>
        <w:jc w:val="both"/>
        <w:rPr>
          <w:rFonts w:ascii="Times New Roman" w:hAnsi="Times New Roman" w:cs="Times New Roman"/>
          <w:sz w:val="24"/>
          <w:szCs w:val="24"/>
          <w:shd w:val="clear" w:color="auto" w:fill="FFFFFF"/>
        </w:rPr>
      </w:pPr>
      <w:r w:rsidRPr="00ED0F07">
        <w:rPr>
          <w:rFonts w:ascii="Times New Roman" w:hAnsi="Times New Roman" w:cs="Times New Roman"/>
          <w:sz w:val="24"/>
          <w:szCs w:val="24"/>
          <w:shd w:val="clear" w:color="auto" w:fill="FFFFFF"/>
        </w:rPr>
        <w:t xml:space="preserve">Minahan, J. R. (2014). Why Is There Debate About Whether Economics Applies to </w:t>
      </w:r>
      <w:r w:rsidR="00ED0F07" w:rsidRPr="00ED0F07">
        <w:rPr>
          <w:rFonts w:ascii="Times New Roman" w:hAnsi="Times New Roman" w:cs="Times New Roman"/>
          <w:sz w:val="24"/>
          <w:szCs w:val="24"/>
          <w:shd w:val="clear" w:color="auto" w:fill="FFFFFF"/>
        </w:rPr>
        <w:t>Pensions?</w:t>
      </w:r>
      <w:r w:rsidRPr="00ED0F07">
        <w:rPr>
          <w:rFonts w:ascii="Times New Roman" w:hAnsi="Times New Roman" w:cs="Times New Roman"/>
          <w:sz w:val="24"/>
          <w:szCs w:val="24"/>
          <w:shd w:val="clear" w:color="auto" w:fill="FFFFFF"/>
        </w:rPr>
        <w:t> </w:t>
      </w:r>
    </w:p>
    <w:p w14:paraId="337CAB72" w14:textId="77777777" w:rsidR="002E3BFC" w:rsidRPr="00ED0F07" w:rsidRDefault="00A92558" w:rsidP="00ED0F07">
      <w:pPr>
        <w:spacing w:line="480" w:lineRule="auto"/>
        <w:ind w:left="720" w:hanging="720"/>
        <w:jc w:val="both"/>
        <w:rPr>
          <w:rFonts w:ascii="Times New Roman" w:hAnsi="Times New Roman" w:cs="Times New Roman"/>
          <w:sz w:val="24"/>
          <w:szCs w:val="24"/>
          <w:lang w:val="en-US"/>
        </w:rPr>
      </w:pPr>
      <w:sdt>
        <w:sdtPr>
          <w:rPr>
            <w:rFonts w:ascii="Times New Roman" w:hAnsi="Times New Roman" w:cs="Times New Roman"/>
            <w:sz w:val="24"/>
            <w:szCs w:val="24"/>
            <w:shd w:val="clear" w:color="auto" w:fill="FFFFFF"/>
          </w:rPr>
          <w:id w:val="876347093"/>
          <w:citation/>
        </w:sdtPr>
        <w:sdtEndPr/>
        <w:sdtContent>
          <w:r w:rsidR="00ED0F07" w:rsidRPr="00ED0F07">
            <w:rPr>
              <w:rFonts w:ascii="Times New Roman" w:hAnsi="Times New Roman" w:cs="Times New Roman"/>
              <w:sz w:val="24"/>
              <w:szCs w:val="24"/>
              <w:shd w:val="clear" w:color="auto" w:fill="FFFFFF"/>
            </w:rPr>
            <w:fldChar w:fldCharType="begin"/>
          </w:r>
          <w:r w:rsidR="00ED0F07" w:rsidRPr="00ED0F07">
            <w:rPr>
              <w:rFonts w:ascii="Times New Roman" w:hAnsi="Times New Roman" w:cs="Times New Roman"/>
              <w:sz w:val="24"/>
              <w:szCs w:val="24"/>
              <w:shd w:val="clear" w:color="auto" w:fill="FFFFFF"/>
              <w:lang w:val="en-US"/>
            </w:rPr>
            <w:instrText xml:space="preserve"> CITATION Jos15 \l 1033 </w:instrText>
          </w:r>
          <w:r w:rsidR="00ED0F07" w:rsidRPr="00ED0F07">
            <w:rPr>
              <w:rFonts w:ascii="Times New Roman" w:hAnsi="Times New Roman" w:cs="Times New Roman"/>
              <w:sz w:val="24"/>
              <w:szCs w:val="24"/>
              <w:shd w:val="clear" w:color="auto" w:fill="FFFFFF"/>
            </w:rPr>
            <w:fldChar w:fldCharType="separate"/>
          </w:r>
          <w:r w:rsidR="00ED0F07" w:rsidRPr="00ED0F07">
            <w:rPr>
              <w:rFonts w:ascii="Times New Roman" w:hAnsi="Times New Roman" w:cs="Times New Roman"/>
              <w:noProof/>
              <w:sz w:val="24"/>
              <w:szCs w:val="24"/>
              <w:shd w:val="clear" w:color="auto" w:fill="FFFFFF"/>
              <w:lang w:val="en-US"/>
            </w:rPr>
            <w:t xml:space="preserve"> (Joseph E. Seibert, 2015)</w:t>
          </w:r>
          <w:r w:rsidR="00ED0F07" w:rsidRPr="00ED0F07">
            <w:rPr>
              <w:rFonts w:ascii="Times New Roman" w:hAnsi="Times New Roman" w:cs="Times New Roman"/>
              <w:sz w:val="24"/>
              <w:szCs w:val="24"/>
              <w:shd w:val="clear" w:color="auto" w:fill="FFFFFF"/>
            </w:rPr>
            <w:fldChar w:fldCharType="end"/>
          </w:r>
        </w:sdtContent>
      </w:sdt>
      <w:r w:rsidR="00ED0F07" w:rsidRPr="00ED0F07">
        <w:rPr>
          <w:rFonts w:ascii="Times New Roman" w:hAnsi="Times New Roman" w:cs="Times New Roman"/>
          <w:i/>
          <w:iCs/>
          <w:sz w:val="24"/>
          <w:szCs w:val="24"/>
          <w:shd w:val="clear" w:color="auto" w:fill="FFFFFF"/>
        </w:rPr>
        <w:t xml:space="preserve"> </w:t>
      </w:r>
      <w:r w:rsidR="002E3BFC" w:rsidRPr="00ED0F07">
        <w:rPr>
          <w:rFonts w:ascii="Times New Roman" w:hAnsi="Times New Roman" w:cs="Times New Roman"/>
          <w:i/>
          <w:iCs/>
          <w:sz w:val="24"/>
          <w:szCs w:val="24"/>
          <w:shd w:val="clear" w:color="auto" w:fill="FFFFFF"/>
        </w:rPr>
        <w:t>The Journal of Investing</w:t>
      </w:r>
      <w:r w:rsidR="002E3BFC" w:rsidRPr="00ED0F07">
        <w:rPr>
          <w:rFonts w:ascii="Times New Roman" w:hAnsi="Times New Roman" w:cs="Times New Roman"/>
          <w:sz w:val="24"/>
          <w:szCs w:val="24"/>
          <w:shd w:val="clear" w:color="auto" w:fill="FFFFFF"/>
        </w:rPr>
        <w:t>, </w:t>
      </w:r>
      <w:r w:rsidR="002E3BFC" w:rsidRPr="00ED0F07">
        <w:rPr>
          <w:rFonts w:ascii="Times New Roman" w:hAnsi="Times New Roman" w:cs="Times New Roman"/>
          <w:i/>
          <w:iCs/>
          <w:sz w:val="24"/>
          <w:szCs w:val="24"/>
          <w:shd w:val="clear" w:color="auto" w:fill="FFFFFF"/>
        </w:rPr>
        <w:t>23</w:t>
      </w:r>
      <w:r w:rsidR="002E3BFC" w:rsidRPr="00ED0F07">
        <w:rPr>
          <w:rFonts w:ascii="Times New Roman" w:hAnsi="Times New Roman" w:cs="Times New Roman"/>
          <w:sz w:val="24"/>
          <w:szCs w:val="24"/>
          <w:shd w:val="clear" w:color="auto" w:fill="FFFFFF"/>
        </w:rPr>
        <w:t>(4), 7-14.</w:t>
      </w:r>
    </w:p>
    <w:p w14:paraId="50CA0423" w14:textId="77777777" w:rsidR="00961EDC" w:rsidRPr="00ED0F07" w:rsidRDefault="00961EDC" w:rsidP="00ED0F07">
      <w:pPr>
        <w:spacing w:line="480" w:lineRule="auto"/>
        <w:jc w:val="both"/>
        <w:rPr>
          <w:rFonts w:ascii="Times New Roman" w:hAnsi="Times New Roman" w:cs="Times New Roman"/>
          <w:sz w:val="24"/>
          <w:szCs w:val="24"/>
          <w:lang w:val="en-US"/>
        </w:rPr>
      </w:pPr>
    </w:p>
    <w:sectPr w:rsidR="00961EDC" w:rsidRPr="00ED0F07" w:rsidSect="00ED0F0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5BDA0" w14:textId="77777777" w:rsidR="00A92558" w:rsidRDefault="00A92558" w:rsidP="00ED0F07">
      <w:pPr>
        <w:spacing w:after="0" w:line="240" w:lineRule="auto"/>
      </w:pPr>
      <w:r>
        <w:separator/>
      </w:r>
    </w:p>
  </w:endnote>
  <w:endnote w:type="continuationSeparator" w:id="0">
    <w:p w14:paraId="569A311F" w14:textId="77777777" w:rsidR="00A92558" w:rsidRDefault="00A92558" w:rsidP="00ED0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9072F" w14:textId="77777777" w:rsidR="00A92558" w:rsidRDefault="00A92558" w:rsidP="00ED0F07">
      <w:pPr>
        <w:spacing w:after="0" w:line="240" w:lineRule="auto"/>
      </w:pPr>
      <w:r>
        <w:separator/>
      </w:r>
    </w:p>
  </w:footnote>
  <w:footnote w:type="continuationSeparator" w:id="0">
    <w:p w14:paraId="0948C9EA" w14:textId="77777777" w:rsidR="00A92558" w:rsidRDefault="00A92558" w:rsidP="00ED0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81044870"/>
      <w:docPartObj>
        <w:docPartGallery w:val="Page Numbers (Top of Page)"/>
        <w:docPartUnique/>
      </w:docPartObj>
    </w:sdtPr>
    <w:sdtEndPr>
      <w:rPr>
        <w:noProof/>
      </w:rPr>
    </w:sdtEndPr>
    <w:sdtContent>
      <w:p w14:paraId="6D098E8A" w14:textId="7ECAF221" w:rsidR="00ED0F07" w:rsidRPr="00044F28" w:rsidRDefault="00ED0F07" w:rsidP="00ED0F07">
        <w:pPr>
          <w:pStyle w:val="Header"/>
          <w:rPr>
            <w:rFonts w:ascii="Times New Roman" w:hAnsi="Times New Roman" w:cs="Times New Roman"/>
            <w:sz w:val="24"/>
            <w:szCs w:val="24"/>
          </w:rPr>
        </w:pPr>
        <w:r w:rsidRPr="00044F28">
          <w:rPr>
            <w:rFonts w:ascii="Times New Roman" w:hAnsi="Times New Roman" w:cs="Times New Roman"/>
            <w:sz w:val="24"/>
            <w:szCs w:val="24"/>
          </w:rPr>
          <w:t xml:space="preserve">PENSIONS                                                               </w:t>
        </w:r>
        <w:r w:rsidR="00044F28">
          <w:rPr>
            <w:rFonts w:ascii="Times New Roman" w:hAnsi="Times New Roman" w:cs="Times New Roman"/>
            <w:sz w:val="24"/>
            <w:szCs w:val="24"/>
          </w:rPr>
          <w:t xml:space="preserve">          </w:t>
        </w:r>
        <w:r w:rsidRPr="00044F28">
          <w:rPr>
            <w:rFonts w:ascii="Times New Roman" w:hAnsi="Times New Roman" w:cs="Times New Roman"/>
            <w:sz w:val="24"/>
            <w:szCs w:val="24"/>
          </w:rPr>
          <w:t xml:space="preserve">                                                        </w:t>
        </w:r>
        <w:r w:rsidRPr="00044F28">
          <w:rPr>
            <w:rFonts w:ascii="Times New Roman" w:hAnsi="Times New Roman" w:cs="Times New Roman"/>
            <w:sz w:val="24"/>
            <w:szCs w:val="24"/>
          </w:rPr>
          <w:fldChar w:fldCharType="begin"/>
        </w:r>
        <w:r w:rsidRPr="00044F28">
          <w:rPr>
            <w:rFonts w:ascii="Times New Roman" w:hAnsi="Times New Roman" w:cs="Times New Roman"/>
            <w:sz w:val="24"/>
            <w:szCs w:val="24"/>
          </w:rPr>
          <w:instrText xml:space="preserve"> PAGE   \* MERGEFORMAT </w:instrText>
        </w:r>
        <w:r w:rsidRPr="00044F28">
          <w:rPr>
            <w:rFonts w:ascii="Times New Roman" w:hAnsi="Times New Roman" w:cs="Times New Roman"/>
            <w:sz w:val="24"/>
            <w:szCs w:val="24"/>
          </w:rPr>
          <w:fldChar w:fldCharType="separate"/>
        </w:r>
        <w:r w:rsidR="00DB1BB8" w:rsidRPr="00044F28">
          <w:rPr>
            <w:rFonts w:ascii="Times New Roman" w:hAnsi="Times New Roman" w:cs="Times New Roman"/>
            <w:noProof/>
            <w:sz w:val="24"/>
            <w:szCs w:val="24"/>
          </w:rPr>
          <w:t>5</w:t>
        </w:r>
        <w:r w:rsidRPr="00044F28">
          <w:rPr>
            <w:rFonts w:ascii="Times New Roman" w:hAnsi="Times New Roman" w:cs="Times New Roman"/>
            <w:noProof/>
            <w:sz w:val="24"/>
            <w:szCs w:val="24"/>
          </w:rPr>
          <w:fldChar w:fldCharType="end"/>
        </w:r>
      </w:p>
    </w:sdtContent>
  </w:sdt>
  <w:p w14:paraId="22AE4084" w14:textId="77777777" w:rsidR="00ED0F07" w:rsidRDefault="00ED0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E99F9" w14:textId="634AA9F3" w:rsidR="00ED0F07" w:rsidRPr="00044F28" w:rsidRDefault="00ED0F07">
    <w:pPr>
      <w:pStyle w:val="Header"/>
      <w:rPr>
        <w:rFonts w:ascii="Times New Roman" w:hAnsi="Times New Roman" w:cs="Times New Roman"/>
        <w:sz w:val="24"/>
        <w:szCs w:val="24"/>
        <w:lang w:val="en-US"/>
      </w:rPr>
    </w:pPr>
    <w:r w:rsidRPr="00044F28">
      <w:rPr>
        <w:rFonts w:ascii="Times New Roman" w:hAnsi="Times New Roman" w:cs="Times New Roman"/>
        <w:sz w:val="24"/>
        <w:szCs w:val="24"/>
        <w:lang w:val="en-US"/>
      </w:rPr>
      <w:t xml:space="preserve">Running Head: PENSIONS         </w:t>
    </w:r>
    <w:r w:rsidR="00044F28">
      <w:rPr>
        <w:rFonts w:ascii="Times New Roman" w:hAnsi="Times New Roman" w:cs="Times New Roman"/>
        <w:sz w:val="24"/>
        <w:szCs w:val="24"/>
        <w:lang w:val="en-US"/>
      </w:rPr>
      <w:t xml:space="preserve">  </w:t>
    </w:r>
    <w:r w:rsidRPr="00044F28">
      <w:rPr>
        <w:rFonts w:ascii="Times New Roman" w:hAnsi="Times New Roman" w:cs="Times New Roman"/>
        <w:sz w:val="24"/>
        <w:szCs w:val="24"/>
        <w:lang w:val="en-US"/>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686862"/>
    <w:multiLevelType w:val="hybridMultilevel"/>
    <w:tmpl w:val="AB70804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EDC"/>
    <w:rsid w:val="00044F28"/>
    <w:rsid w:val="002E3BFC"/>
    <w:rsid w:val="00301554"/>
    <w:rsid w:val="00600F33"/>
    <w:rsid w:val="00961EDC"/>
    <w:rsid w:val="009F70B3"/>
    <w:rsid w:val="00A92558"/>
    <w:rsid w:val="00DB1BB8"/>
    <w:rsid w:val="00E743EC"/>
    <w:rsid w:val="00E81EE3"/>
    <w:rsid w:val="00ED0F07"/>
    <w:rsid w:val="00F373B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FB6AA"/>
  <w15:chartTrackingRefBased/>
  <w15:docId w15:val="{05449D9C-3760-4D19-B097-72373BC9D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EE3"/>
    <w:pPr>
      <w:ind w:left="720"/>
      <w:contextualSpacing/>
    </w:pPr>
  </w:style>
  <w:style w:type="paragraph" w:styleId="Header">
    <w:name w:val="header"/>
    <w:basedOn w:val="Normal"/>
    <w:link w:val="HeaderChar"/>
    <w:uiPriority w:val="99"/>
    <w:unhideWhenUsed/>
    <w:rsid w:val="00ED0F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F07"/>
  </w:style>
  <w:style w:type="paragraph" w:styleId="Footer">
    <w:name w:val="footer"/>
    <w:basedOn w:val="Normal"/>
    <w:link w:val="FooterChar"/>
    <w:uiPriority w:val="99"/>
    <w:unhideWhenUsed/>
    <w:rsid w:val="00ED0F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483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Jos15</b:Tag>
    <b:SourceType>JournalArticle</b:SourceType>
    <b:Guid>{F264E59D-DA18-4E4B-8E95-56F0A30457DD}</b:Guid>
    <b:Title>Government Obligations to Appear in Financial Statements</b:Title>
    <b:Year>2015</b:Year>
    <b:Author>
      <b:Author>
        <b:NameList>
          <b:Person>
            <b:Last>Joseph E. Seibert</b:Last>
            <b:First>CPA</b:First>
          </b:Person>
        </b:NameList>
      </b:Author>
    </b:Author>
    <b:JournalName>Pennsylvania CPA Journal</b:JournalName>
    <b:Pages>25-28</b:Pages>
    <b:RefOrder>1</b:RefOrder>
  </b:Source>
</b:Sources>
</file>

<file path=customXml/itemProps1.xml><?xml version="1.0" encoding="utf-8"?>
<ds:datastoreItem xmlns:ds="http://schemas.openxmlformats.org/officeDocument/2006/customXml" ds:itemID="{64D0A79F-F16A-4C23-8680-DC92ED1ED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2020-01-02T06:01:00Z</dcterms:created>
  <dcterms:modified xsi:type="dcterms:W3CDTF">2020-01-02T13:14:00Z</dcterms:modified>
</cp:coreProperties>
</file>