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Project Phase 1</w:t>
      </w:r>
    </w:p>
    <w:p>
      <w:pPr>
        <w:pStyle w:val="Normal"/>
        <w:bidi w:val="0"/>
        <w:jc w:val="left"/>
        <w:rPr>
          <w:b/>
          <w:b/>
          <w:bCs/>
        </w:rPr>
      </w:pPr>
      <w:r>
        <w:rPr>
          <w:b/>
          <w:bCs/>
        </w:rPr>
        <w:t xml:space="preserve">a. </w:t>
      </w:r>
      <w:r>
        <w:rPr>
          <w:b/>
          <w:bCs/>
        </w:rPr>
        <w:t>Detail design and description of a Management Information Base (MIB)</w:t>
      </w:r>
    </w:p>
    <w:p>
      <w:pPr>
        <w:pStyle w:val="Normal"/>
        <w:bidi w:val="0"/>
        <w:jc w:val="left"/>
        <w:rPr>
          <w:b/>
          <w:b/>
          <w:bCs/>
        </w:rPr>
      </w:pPr>
      <w:r>
        <w:rPr>
          <w:b/>
          <w:bCs/>
        </w:rPr>
        <w:t>SMI-v2 described by RFC 1213</w:t>
      </w:r>
    </w:p>
    <w:p>
      <w:pPr>
        <w:pStyle w:val="Normal"/>
        <w:bidi w:val="0"/>
        <w:jc w:val="left"/>
        <w:rPr/>
      </w:pPr>
      <w:r>
        <w:rPr/>
      </w:r>
    </w:p>
    <w:p>
      <w:pPr>
        <w:pStyle w:val="Normal"/>
        <w:bidi w:val="0"/>
        <w:jc w:val="left"/>
        <w:rPr/>
      </w:pPr>
      <w:r>
        <w:rPr/>
        <w:t xml:space="preserve">The basic format that MIB uses to distinguish the various proportionality within a sent human readable format to the string formats that are generalized as one of the major instances of the SMI-v2 RFC standard. Therefore the main architecture is utilized to manage and apprehend the constant formalize of the data to the way data itself is structured. </w:t>
      </w:r>
    </w:p>
    <w:p>
      <w:pPr>
        <w:pStyle w:val="Normal"/>
        <w:bidi w:val="0"/>
        <w:jc w:val="left"/>
        <w:rPr/>
      </w:pPr>
      <w:r>
        <w:rPr/>
        <w:t xml:space="preserve">In a shorter way to describe it, the way all this values are arranged </w:t>
      </w:r>
      <w:r>
        <w:rPr/>
        <w:t xml:space="preserve">in a more categorical and format based instance to utilize he SMI-v2 instances within the specialization. All possible methodology are kept towards how the data is to be shared and actually initialized as a sustained element in the instance related possibility. </w:t>
      </w:r>
    </w:p>
    <w:p>
      <w:pPr>
        <w:pStyle w:val="Normal"/>
        <w:bidi w:val="0"/>
        <w:jc w:val="left"/>
        <w:rPr/>
      </w:pPr>
      <w:r>
        <w:rPr/>
      </w:r>
    </w:p>
    <w:p>
      <w:pPr>
        <w:pStyle w:val="Normal"/>
        <w:bidi w:val="0"/>
        <w:jc w:val="left"/>
        <w:rPr/>
      </w:pPr>
      <w:r>
        <w:rPr/>
        <w:t>There are various SNMP instances where the usage of trap and get commands are used as a formalized agent request that use the MIB structure and possibly to entail all the possible Human structured language to categorical messages within the web</w:t>
      </w:r>
    </w:p>
    <w:p>
      <w:pPr>
        <w:pStyle w:val="Normal"/>
        <w:bidi w:val="0"/>
        <w:jc w:val="left"/>
        <w:rPr/>
      </w:pPr>
      <w:r>
        <w:rPr/>
      </w:r>
    </w:p>
    <w:p>
      <w:pPr>
        <w:pStyle w:val="Normal"/>
        <w:bidi w:val="0"/>
        <w:jc w:val="left"/>
        <w:rPr/>
      </w:pPr>
      <w:r>
        <w:rPr/>
        <w:t>An SMI-v2 structure is categorical to how its structured. All the elements are designed in a specific order to accommodate the way all the data is structured. Therefore in an immediate version of it, there are logical partitions that are made way better within the formalized data methodologies.</w:t>
      </w:r>
    </w:p>
    <w:p>
      <w:pPr>
        <w:pStyle w:val="Normal"/>
        <w:bidi w:val="0"/>
        <w:jc w:val="left"/>
        <w:rPr/>
      </w:pPr>
      <w:r>
        <w:rPr/>
      </w:r>
    </w:p>
    <w:p>
      <w:pPr>
        <w:pStyle w:val="Normal"/>
        <w:bidi w:val="0"/>
        <w:jc w:val="left"/>
        <w:rPr/>
      </w:pPr>
      <w:r>
        <w:rPr/>
      </w:r>
    </w:p>
    <w:p>
      <w:pPr>
        <w:pStyle w:val="Normal"/>
        <w:bidi w:val="0"/>
        <w:jc w:val="left"/>
        <w:rPr>
          <w:b/>
          <w:b/>
          <w:bCs/>
        </w:rPr>
      </w:pPr>
      <w:r>
        <w:rPr>
          <w:b/>
          <w:bCs/>
        </w:rPr>
        <w:t xml:space="preserve">b. Request For Comments </w:t>
      </w:r>
    </w:p>
    <w:p>
      <w:pPr>
        <w:pStyle w:val="Normal"/>
        <w:bidi w:val="0"/>
        <w:jc w:val="left"/>
        <w:rPr/>
      </w:pPr>
      <w:r>
        <w:rPr/>
      </w:r>
    </w:p>
    <w:p>
      <w:pPr>
        <w:pStyle w:val="Normal"/>
        <w:bidi w:val="0"/>
        <w:jc w:val="left"/>
        <w:rPr/>
      </w:pPr>
      <w:r>
        <w:rPr/>
        <w:t xml:space="preserve">RFC is a short form that utilizes the use of comments from the various internet protocols that are used within the element in networking. There are various instances that strictly objectify the usage of the this element within the networking possibility. The essence to create minimized and extra functional structures that are independent to the way data itself is formalized can be a more instance within the element. </w:t>
      </w:r>
    </w:p>
    <w:p>
      <w:pPr>
        <w:pStyle w:val="Normal"/>
        <w:bidi w:val="0"/>
        <w:jc w:val="left"/>
        <w:rPr/>
      </w:pPr>
      <w:r>
        <w:rPr/>
        <w:t>As for this, RFC tends to be more:</w:t>
      </w:r>
    </w:p>
    <w:p>
      <w:pPr>
        <w:pStyle w:val="Normal"/>
        <w:bidi w:val="0"/>
        <w:jc w:val="left"/>
        <w:rPr/>
      </w:pPr>
      <w:r>
        <w:rPr/>
        <w:tab/>
        <w:tab/>
        <w:tab/>
        <w:t>Network recommended</w:t>
      </w:r>
    </w:p>
    <w:p>
      <w:pPr>
        <w:pStyle w:val="Normal"/>
        <w:bidi w:val="0"/>
        <w:jc w:val="left"/>
        <w:rPr/>
      </w:pPr>
      <w:r>
        <w:rPr/>
        <w:tab/>
        <w:tab/>
        <w:tab/>
        <w:t>Network Elective</w:t>
      </w:r>
    </w:p>
    <w:p>
      <w:pPr>
        <w:pStyle w:val="Normal"/>
        <w:bidi w:val="0"/>
        <w:jc w:val="left"/>
        <w:rPr/>
      </w:pPr>
      <w:r>
        <w:rPr/>
        <w:tab/>
        <w:tab/>
        <w:tab/>
        <w:t>Network required</w:t>
      </w:r>
    </w:p>
    <w:p>
      <w:pPr>
        <w:pStyle w:val="Normal"/>
        <w:bidi w:val="0"/>
        <w:jc w:val="left"/>
        <w:rPr/>
      </w:pPr>
      <w:r>
        <w:rPr/>
        <w:tab/>
        <w:tab/>
        <w:tab/>
        <w:t xml:space="preserve">Network limited use. </w:t>
      </w:r>
    </w:p>
    <w:p>
      <w:pPr>
        <w:pStyle w:val="Normal"/>
        <w:bidi w:val="0"/>
        <w:jc w:val="left"/>
        <w:rPr/>
      </w:pPr>
      <w:r>
        <w:rPr/>
        <w:t>There are various stage standards that are used to specialize the development of the various RFC usages within the networking area. These standards are:</w:t>
      </w:r>
    </w:p>
    <w:p>
      <w:pPr>
        <w:pStyle w:val="Normal"/>
        <w:bidi w:val="0"/>
        <w:jc w:val="left"/>
        <w:rPr/>
      </w:pPr>
      <w:r>
        <w:rPr/>
        <w:tab/>
        <w:tab/>
        <w:t>Proposed</w:t>
      </w:r>
    </w:p>
    <w:p>
      <w:pPr>
        <w:pStyle w:val="Normal"/>
        <w:bidi w:val="0"/>
        <w:jc w:val="left"/>
        <w:rPr/>
      </w:pPr>
      <w:r>
        <w:rPr/>
        <w:tab/>
        <w:tab/>
        <w:t>Draft</w:t>
      </w:r>
    </w:p>
    <w:p>
      <w:pPr>
        <w:pStyle w:val="Normal"/>
        <w:bidi w:val="0"/>
        <w:jc w:val="left"/>
        <w:rPr/>
      </w:pPr>
      <w:r>
        <w:rPr/>
        <w:tab/>
        <w:tab/>
        <w:t>Internet-based.</w:t>
      </w:r>
    </w:p>
    <w:p>
      <w:pPr>
        <w:pStyle w:val="Normal"/>
        <w:bidi w:val="0"/>
        <w:jc w:val="left"/>
        <w:rPr/>
      </w:pPr>
      <w:r>
        <w:rPr/>
      </w:r>
    </w:p>
    <w:p>
      <w:pPr>
        <w:pStyle w:val="Normal"/>
        <w:bidi w:val="0"/>
        <w:jc w:val="left"/>
        <w:rPr/>
      </w:pPr>
      <w:r>
        <w:rPr/>
      </w:r>
    </w:p>
    <w:p>
      <w:pPr>
        <w:pStyle w:val="Normal"/>
        <w:bidi w:val="0"/>
        <w:jc w:val="left"/>
        <w:rPr>
          <w:b/>
          <w:b/>
          <w:bCs/>
        </w:rPr>
      </w:pPr>
      <w:r>
        <w:rPr>
          <w:b/>
          <w:bCs/>
        </w:rPr>
        <w:t>c. Presentation context for MIB</w:t>
      </w:r>
    </w:p>
    <w:p>
      <w:pPr>
        <w:pStyle w:val="Normal"/>
        <w:bidi w:val="0"/>
        <w:jc w:val="left"/>
        <w:rPr>
          <w:b/>
          <w:b/>
          <w:bCs/>
        </w:rPr>
      </w:pPr>
      <w:r>
        <w:rPr>
          <w:b/>
          <w:bCs/>
        </w:rPr>
        <w:t>I. What information will be required to manage a host?</w:t>
      </w:r>
    </w:p>
    <w:p>
      <w:pPr>
        <w:pStyle w:val="Normal"/>
        <w:bidi w:val="0"/>
        <w:jc w:val="left"/>
        <w:rPr/>
      </w:pPr>
      <w:r>
        <w:rPr/>
      </w:r>
    </w:p>
    <w:p>
      <w:pPr>
        <w:pStyle w:val="Normal"/>
        <w:bidi w:val="0"/>
        <w:jc w:val="left"/>
        <w:rPr/>
      </w:pPr>
      <w:r>
        <w:rPr/>
        <w:t>There are various instances where the information is strictly based on how an organization application of various data formats that are necessarily going in and out of the company are restructured to formulate an even better methodology towards how data formats are recreated. Therefore the main instance is related to the functional and independent format within the data structure. All the possible activities are correlated to enable the SNMP protocol to alter the behavior of IP addresses and fix them with the natural structure that is independent to the company’s functionality. In relation all the possible instances are correlated to limit the usage of non-useful information within the data formats.</w:t>
      </w:r>
    </w:p>
    <w:p>
      <w:pPr>
        <w:pStyle w:val="Normal"/>
        <w:bidi w:val="0"/>
        <w:jc w:val="left"/>
        <w:rPr/>
      </w:pPr>
      <w:r>
        <w:rPr/>
      </w:r>
    </w:p>
    <w:p>
      <w:pPr>
        <w:pStyle w:val="Normal"/>
        <w:bidi w:val="0"/>
        <w:jc w:val="left"/>
        <w:rPr>
          <w:b/>
          <w:b/>
          <w:bCs/>
        </w:rPr>
      </w:pPr>
      <w:r>
        <w:rPr>
          <w:b/>
          <w:bCs/>
        </w:rPr>
        <w:t xml:space="preserve">ii. </w:t>
      </w:r>
      <w:r>
        <w:rPr>
          <w:rFonts w:cs="Arial" w:ascii="Arial" w:hAnsi="Arial" w:asciiTheme="majorBidi" w:cstheme="majorBidi" w:hAnsiTheme="majorBidi"/>
          <w:b/>
          <w:bCs/>
          <w:sz w:val="24"/>
          <w:szCs w:val="24"/>
        </w:rPr>
        <w:t>Distinguish between the simple variables and their types, and the tables necessary for this information base.</w:t>
      </w:r>
    </w:p>
    <w:p>
      <w:pPr>
        <w:pStyle w:val="Normal"/>
        <w:bidi w:val="0"/>
        <w:jc w:val="left"/>
        <w:rPr/>
      </w:pPr>
      <w:r>
        <w:rPr/>
      </w:r>
    </w:p>
    <w:p>
      <w:pPr>
        <w:pStyle w:val="Normal"/>
        <w:bidi w:val="0"/>
        <w:jc w:val="left"/>
        <w:rPr/>
      </w:pPr>
      <w:r>
        <w:rPr/>
      </w:r>
    </w:p>
    <w:p>
      <w:pPr>
        <w:pStyle w:val="Normal"/>
        <w:bidi w:val="0"/>
        <w:jc w:val="left"/>
        <w:rPr/>
      </w:pPr>
      <w:r>
        <w:rPr/>
        <w:t>The standard IEEE version that constantly formulates the usage and practice of the various MIB structures are distinguished by how their data variables are organized and formularized to sustain the usage of SNMP within their web and network architecture. The various IP formalization can be independent to how data itself is formalized. Therefore the recognition of these data formats can be categorical and instance related. All the other variables are constantly formulated to re-organize the various possible structures of data formats within the existence.</w:t>
      </w:r>
    </w:p>
    <w:p>
      <w:pPr>
        <w:pStyle w:val="Normal"/>
        <w:bidi w:val="0"/>
        <w:jc w:val="left"/>
        <w:rPr/>
      </w:pPr>
      <w:r>
        <w:rPr/>
        <w:t>The types of the various MIB categories can be logical in structure. Each type is formularized to be grouped into tabular or Scalar objects. With this two types, there is a multiple definitional of object instances that are structured to independent tabular tables and others structured into scalar quantities that are network readable within the MIB structure itself. All the possible activities are designed to factor out correct manipulation of this data ad formularize them.</w:t>
      </w:r>
    </w:p>
    <w:p>
      <w:pPr>
        <w:pStyle w:val="Normal"/>
        <w:bidi w:val="0"/>
        <w:jc w:val="left"/>
        <w:rPr/>
      </w:pPr>
      <w:r>
        <w:rPr/>
        <w:t>The various table structures that are embedded within the design and manipulation of data formats are restructured to possibly give a functional and immediate instance within the various data formats. All the arranged data platforms are managed to consistently categorize each data format as a methodology to keep an updated system implementation. All this instances are made possible to attract the correct potential data formats within the data.</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
          <w:bCs/>
        </w:rPr>
      </w:pPr>
      <w:r>
        <w:rPr>
          <w:b/>
          <w:bCs/>
        </w:rPr>
        <w:t>d. Formal Description of the MIB</w:t>
      </w:r>
    </w:p>
    <w:p>
      <w:pPr>
        <w:pStyle w:val="Normal"/>
        <w:bidi w:val="0"/>
        <w:jc w:val="left"/>
        <w:rPr/>
      </w:pPr>
      <w:r>
        <w:rPr/>
      </w:r>
    </w:p>
    <w:p>
      <w:pPr>
        <w:pStyle w:val="Normal"/>
        <w:bidi w:val="0"/>
        <w:jc w:val="left"/>
        <w:rPr/>
      </w:pPr>
      <w:r>
        <w:rPr/>
        <w:tab/>
        <w:t>1. Name the module containing the MIB</w:t>
      </w:r>
    </w:p>
    <w:p>
      <w:pPr>
        <w:pStyle w:val="Normal"/>
        <w:bidi w:val="0"/>
        <w:jc w:val="left"/>
        <w:rPr/>
      </w:pPr>
      <w:r>
        <w:rPr/>
      </w:r>
    </w:p>
    <w:p>
      <w:pPr>
        <w:pStyle w:val="Normal"/>
        <w:bidi w:val="0"/>
        <w:jc w:val="left"/>
        <w:rPr/>
      </w:pPr>
      <w:r>
        <w:rPr/>
        <w:t>--Definition of address</w:t>
      </w:r>
    </w:p>
    <w:p>
      <w:pPr>
        <w:pStyle w:val="Normal"/>
        <w:bidi w:val="0"/>
        <w:jc w:val="left"/>
        <w:rPr/>
      </w:pPr>
      <w:r>
        <w:rPr/>
      </w:r>
    </w:p>
    <w:p>
      <w:pPr>
        <w:pStyle w:val="Normal"/>
        <w:bidi w:val="0"/>
        <w:jc w:val="left"/>
        <w:rPr/>
      </w:pPr>
      <w:r>
        <w:rPr/>
        <w:t xml:space="preserve">address </w:t>
        <w:tab/>
        <w:t>OBJECT-TYPE</w:t>
      </w:r>
    </w:p>
    <w:p>
      <w:pPr>
        <w:pStyle w:val="Normal"/>
        <w:bidi w:val="0"/>
        <w:jc w:val="left"/>
        <w:rPr/>
      </w:pPr>
      <w:r>
        <w:rPr/>
        <w:t>SYNTAX</w:t>
        <w:tab/>
        <w:t xml:space="preserve">IPAddress </w:t>
      </w:r>
    </w:p>
    <w:p>
      <w:pPr>
        <w:pStyle w:val="Normal"/>
        <w:bidi w:val="0"/>
        <w:jc w:val="left"/>
        <w:rPr/>
      </w:pPr>
      <w:r>
        <w:rPr/>
        <w:t>MAX-ACCESS</w:t>
        <w:tab/>
        <w:t>read-write</w:t>
      </w:r>
    </w:p>
    <w:p>
      <w:pPr>
        <w:pStyle w:val="Normal"/>
        <w:bidi w:val="0"/>
        <w:jc w:val="left"/>
        <w:rPr/>
      </w:pPr>
      <w:r>
        <w:rPr/>
        <w:t>STATUS</w:t>
        <w:tab/>
        <w:tab/>
        <w:t>current</w:t>
      </w:r>
    </w:p>
    <w:p>
      <w:pPr>
        <w:pStyle w:val="Normal"/>
        <w:bidi w:val="0"/>
        <w:jc w:val="left"/>
        <w:rPr/>
      </w:pPr>
      <w:r>
        <w:rPr/>
        <w:t xml:space="preserve">DESCRIPTION </w:t>
        <w:tab/>
        <w:t>“studentName-StudentID-MIB</w:t>
      </w:r>
    </w:p>
    <w:p>
      <w:pPr>
        <w:pStyle w:val="Normal"/>
        <w:bidi w:val="0"/>
        <w:jc w:val="left"/>
        <w:rPr/>
      </w:pPr>
      <w:r>
        <w:rPr/>
        <w:t>::={NEW-MIB 1}</w:t>
      </w:r>
    </w:p>
    <w:p>
      <w:pPr>
        <w:pStyle w:val="Normal"/>
        <w:bidi w:val="0"/>
        <w:jc w:val="left"/>
        <w:rPr/>
      </w:pPr>
      <w:r>
        <w:rPr/>
      </w:r>
    </w:p>
    <w:p>
      <w:pPr>
        <w:pStyle w:val="Normal"/>
        <w:bidi w:val="0"/>
        <w:jc w:val="left"/>
        <w:rPr/>
      </w:pPr>
      <w:r>
        <w:rPr/>
        <w:tab/>
      </w:r>
      <w:r>
        <w:rPr>
          <w:b/>
          <w:bCs/>
        </w:rPr>
        <w:t>2. Choose an OID for each elements</w:t>
      </w:r>
    </w:p>
    <w:p>
      <w:pPr>
        <w:pStyle w:val="Normal"/>
        <w:bidi w:val="0"/>
        <w:jc w:val="left"/>
        <w:rPr/>
      </w:pPr>
      <w:r>
        <w:rPr/>
      </w:r>
    </w:p>
    <w:p>
      <w:pPr>
        <w:pStyle w:val="Normal"/>
        <w:bidi w:val="0"/>
        <w:jc w:val="left"/>
        <w:rPr/>
      </w:pPr>
      <w:r>
        <w:rPr/>
        <w:t>address Skeeper,</w:t>
      </w:r>
    </w:p>
    <w:p>
      <w:pPr>
        <w:pStyle w:val="Normal"/>
        <w:bidi w:val="0"/>
        <w:jc w:val="left"/>
        <w:rPr/>
      </w:pPr>
      <w:r>
        <w:rPr/>
        <w:t>from SNMPv2-SMI</w:t>
      </w:r>
    </w:p>
    <w:p>
      <w:pPr>
        <w:pStyle w:val="Normal"/>
        <w:bidi w:val="0"/>
        <w:jc w:val="left"/>
        <w:rPr/>
      </w:pPr>
      <w:r>
        <w:rPr/>
        <w:t>DisplayString, TimeStamp</w:t>
      </w:r>
    </w:p>
    <w:p>
      <w:pPr>
        <w:pStyle w:val="Normal"/>
        <w:bidi w:val="0"/>
        <w:jc w:val="left"/>
        <w:rPr/>
      </w:pPr>
      <w:r>
        <w:rPr/>
        <w:t>From SNMPv2-TC</w:t>
      </w:r>
    </w:p>
    <w:p>
      <w:pPr>
        <w:pStyle w:val="Normal"/>
        <w:bidi w:val="0"/>
        <w:jc w:val="left"/>
        <w:rPr/>
      </w:pPr>
      <w:r>
        <w:rPr/>
      </w:r>
    </w:p>
    <w:p>
      <w:pPr>
        <w:pStyle w:val="Normal"/>
        <w:bidi w:val="0"/>
        <w:jc w:val="left"/>
        <w:rPr/>
      </w:pPr>
      <w:r>
        <w:rPr/>
        <w:t>mib-2 OBJECT IDENTIFIER ::= { mng 1}</w:t>
      </w:r>
    </w:p>
    <w:p>
      <w:pPr>
        <w:pStyle w:val="Normal"/>
        <w:bidi w:val="0"/>
        <w:jc w:val="left"/>
        <w:rPr/>
      </w:pPr>
      <w:r>
        <w:rPr/>
        <w:t xml:space="preserve">sun </w:t>
        <w:tab/>
        <w:t>OBJECT IDENTIFIER ::= { skeepers}</w:t>
      </w:r>
    </w:p>
    <w:p>
      <w:pPr>
        <w:pStyle w:val="Normal"/>
        <w:bidi w:val="0"/>
        <w:jc w:val="left"/>
        <w:rPr/>
      </w:pPr>
      <w:r>
        <w:rPr/>
        <w:t>detac OBJECT IDENTIFIER :: = {sun 21400}</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r>
      <w:r>
        <w:rPr>
          <w:b/>
          <w:bCs/>
        </w:rPr>
        <w:t>3. Define a coherent tree structure.</w:t>
      </w:r>
    </w:p>
    <w:tbl>
      <w:tblPr>
        <w:tblW w:w="9638" w:type="dxa"/>
        <w:jc w:val="left"/>
        <w:tblInd w:w="-7" w:type="dxa"/>
        <w:tblLayout w:type="fixed"/>
        <w:tblCellMar>
          <w:top w:w="0" w:type="dxa"/>
          <w:left w:w="0" w:type="dxa"/>
          <w:bottom w:w="0" w:type="dxa"/>
          <w:right w:w="0" w:type="dxa"/>
        </w:tblCellMar>
      </w:tblPr>
      <w:tblGrid>
        <w:gridCol w:w="2600"/>
        <w:gridCol w:w="1255"/>
        <w:gridCol w:w="1927"/>
        <w:gridCol w:w="1928"/>
        <w:gridCol w:w="1928"/>
      </w:tblGrid>
      <w:tr>
        <w:trPr/>
        <w:tc>
          <w:tcPr>
            <w:tcW w:w="9638" w:type="dxa"/>
            <w:gridSpan w:val="5"/>
            <w:tcBorders>
              <w:top w:val="single" w:sz="6" w:space="0" w:color="CE181E"/>
              <w:left w:val="single" w:sz="6" w:space="0" w:color="CE181E"/>
              <w:right w:val="single" w:sz="6" w:space="0" w:color="CE181E"/>
            </w:tcBorders>
            <w:shd w:fill="CE181E" w:val="clear"/>
          </w:tcPr>
          <w:p>
            <w:pPr>
              <w:pStyle w:val="TableContents"/>
              <w:bidi w:val="0"/>
              <w:jc w:val="center"/>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TOP</w:t>
            </w:r>
          </w:p>
        </w:tc>
      </w:tr>
      <w:tr>
        <w:trPr/>
        <w:tc>
          <w:tcPr>
            <w:tcW w:w="2600" w:type="dxa"/>
            <w:tcBorders>
              <w:left w:val="single" w:sz="6" w:space="0" w:color="CE181E"/>
            </w:tcBorders>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CCITT</w:t>
            </w:r>
          </w:p>
        </w:tc>
        <w:tc>
          <w:tcPr>
            <w:tcW w:w="3182" w:type="dxa"/>
            <w:gridSpan w:val="2"/>
            <w:tcBorders/>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ISO</w:t>
            </w:r>
          </w:p>
        </w:tc>
        <w:tc>
          <w:tcPr>
            <w:tcW w:w="3856" w:type="dxa"/>
            <w:gridSpan w:val="2"/>
            <w:tcBorders>
              <w:right w:val="single" w:sz="6" w:space="0" w:color="CE181E"/>
            </w:tcBorders>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JOINT-ISO_CCITT</w:t>
            </w:r>
          </w:p>
        </w:tc>
      </w:tr>
      <w:tr>
        <w:trPr/>
        <w:tc>
          <w:tcPr>
            <w:tcW w:w="2600" w:type="dxa"/>
            <w:tcBorders>
              <w:left w:val="single" w:sz="6" w:space="0" w:color="CE181E"/>
            </w:tcBorders>
            <w:shd w:fill="DDDDDD" w:val="clear"/>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1255" w:type="dxa"/>
            <w:tcBorders/>
            <w:shd w:fill="DDDDDD" w:val="clear"/>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5783" w:type="dxa"/>
            <w:gridSpan w:val="3"/>
            <w:tcBorders>
              <w:right w:val="single" w:sz="6" w:space="0" w:color="CE181E"/>
            </w:tcBorders>
            <w:shd w:fill="DDDDDD" w:val="clear"/>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DOD</w:t>
            </w:r>
          </w:p>
        </w:tc>
      </w:tr>
      <w:tr>
        <w:trPr/>
        <w:tc>
          <w:tcPr>
            <w:tcW w:w="2600" w:type="dxa"/>
            <w:tcBorders>
              <w:left w:val="single" w:sz="6" w:space="0" w:color="CE181E"/>
            </w:tcBorders>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5110" w:type="dxa"/>
            <w:gridSpan w:val="3"/>
            <w:tcBorders/>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Internet</w:t>
            </w:r>
          </w:p>
        </w:tc>
        <w:tc>
          <w:tcPr>
            <w:tcW w:w="1928" w:type="dxa"/>
            <w:tcBorders>
              <w:right w:val="single" w:sz="6" w:space="0" w:color="CE181E"/>
            </w:tcBorders>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r>
      <w:tr>
        <w:trPr/>
        <w:tc>
          <w:tcPr>
            <w:tcW w:w="2600" w:type="dxa"/>
            <w:tcBorders>
              <w:left w:val="single" w:sz="6" w:space="0" w:color="CE181E"/>
            </w:tcBorders>
            <w:shd w:fill="DDDDDD" w:val="clear"/>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7038" w:type="dxa"/>
            <w:gridSpan w:val="4"/>
            <w:tcBorders>
              <w:right w:val="single" w:sz="6" w:space="0" w:color="CE181E"/>
            </w:tcBorders>
            <w:shd w:fill="DDDDDD" w:val="clear"/>
          </w:tcPr>
          <w:p>
            <w:pPr>
              <w:pStyle w:val="TableContents"/>
              <w:bidi w:val="0"/>
              <w:jc w:val="center"/>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Private</w:t>
            </w:r>
          </w:p>
        </w:tc>
      </w:tr>
      <w:tr>
        <w:trPr/>
        <w:tc>
          <w:tcPr>
            <w:tcW w:w="5782" w:type="dxa"/>
            <w:gridSpan w:val="3"/>
            <w:tcBorders>
              <w:left w:val="single" w:sz="6" w:space="0" w:color="CE181E"/>
              <w:bottom w:val="single" w:sz="6" w:space="0" w:color="CE181E"/>
            </w:tcBorders>
            <w:shd w:fill="FCD3C1" w:val="clear"/>
          </w:tcPr>
          <w:p>
            <w:pPr>
              <w:pStyle w:val="TableContents"/>
              <w:bidi w:val="0"/>
              <w:jc w:val="center"/>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Enterprise</w:t>
            </w:r>
          </w:p>
        </w:tc>
        <w:tc>
          <w:tcPr>
            <w:tcW w:w="1928" w:type="dxa"/>
            <w:tcBorders>
              <w:bottom w:val="single" w:sz="6" w:space="0" w:color="CE181E"/>
            </w:tcBorders>
            <w:shd w:fill="FCD3C1" w:val="clear"/>
          </w:tcPr>
          <w:p>
            <w:pPr>
              <w:pStyle w:val="TableContents"/>
              <w:bidi w:val="0"/>
              <w:jc w:val="center"/>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1928" w:type="dxa"/>
            <w:tcBorders>
              <w:bottom w:val="single" w:sz="6" w:space="0" w:color="CE181E"/>
              <w:right w:val="single" w:sz="6" w:space="0" w:color="CE181E"/>
            </w:tcBorders>
            <w:shd w:fill="FCD3C1" w:val="clear"/>
          </w:tcPr>
          <w:p>
            <w:pPr>
              <w:pStyle w:val="TableContents"/>
              <w:bidi w:val="0"/>
              <w:jc w:val="center"/>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r>
    </w:tbl>
    <w:p>
      <w:pPr>
        <w:pStyle w:val="Normal"/>
        <w:bidi w:val="0"/>
        <w:jc w:val="left"/>
        <w:rPr/>
      </w:pPr>
      <w:r>
        <w:rPr/>
      </w:r>
    </w:p>
    <w:p>
      <w:pPr>
        <w:pStyle w:val="Normal"/>
        <w:bidi w:val="0"/>
        <w:jc w:val="left"/>
        <w:rPr/>
      </w:pPr>
      <w:r>
        <w:rPr/>
      </w:r>
    </w:p>
    <w:p>
      <w:pPr>
        <w:pStyle w:val="Normal"/>
        <w:bidi w:val="0"/>
        <w:jc w:val="left"/>
        <w:rPr/>
      </w:pPr>
      <w:r>
        <w:rPr/>
        <w:tab/>
      </w:r>
      <w:r>
        <w:rPr>
          <w:b/>
          <w:bCs/>
        </w:rPr>
        <w:t>4. Use the ASN.1 syntax for types</w:t>
      </w:r>
    </w:p>
    <w:p>
      <w:pPr>
        <w:pStyle w:val="Normal"/>
        <w:bidi w:val="0"/>
        <w:jc w:val="left"/>
        <w:rPr/>
      </w:pPr>
      <w:r>
        <w:rPr/>
      </w:r>
    </w:p>
    <w:p>
      <w:pPr>
        <w:pStyle w:val="Normal"/>
        <w:bidi w:val="0"/>
        <w:jc w:val="left"/>
        <w:rPr/>
      </w:pPr>
      <w:r>
        <w:rPr/>
        <w:t>file.Open.Request :: = Sequence {</w:t>
      </w:r>
    </w:p>
    <w:p>
      <w:pPr>
        <w:pStyle w:val="Normal"/>
        <w:bidi w:val="0"/>
        <w:jc w:val="left"/>
        <w:rPr/>
      </w:pPr>
      <w:r>
        <w:rPr/>
        <w:tab/>
      </w:r>
    </w:p>
    <w:p>
      <w:pPr>
        <w:pStyle w:val="Normal"/>
        <w:bidi w:val="0"/>
        <w:jc w:val="left"/>
        <w:rPr/>
      </w:pPr>
      <w:r>
        <w:rPr/>
        <w:tab/>
        <w:t>filename [1] INT</w:t>
      </w:r>
    </w:p>
    <w:p>
      <w:pPr>
        <w:pStyle w:val="Normal"/>
        <w:bidi w:val="0"/>
        <w:jc w:val="left"/>
        <w:rPr/>
      </w:pPr>
      <w:r>
        <w:rPr/>
      </w:r>
    </w:p>
    <w:p>
      <w:pPr>
        <w:pStyle w:val="Normal"/>
        <w:bidi w:val="0"/>
        <w:jc w:val="left"/>
        <w:rPr/>
      </w:pPr>
      <w:r>
        <w:rPr/>
        <w:tab/>
        <w:t xml:space="preserve">PASS </w:t>
        <w:tab/>
        <w:t>[0]</w:t>
        <w:tab/>
        <w:t>pass REQUIRED</w:t>
      </w:r>
    </w:p>
    <w:p>
      <w:pPr>
        <w:pStyle w:val="Normal"/>
        <w:bidi w:val="0"/>
        <w:jc w:val="left"/>
        <w:rPr/>
      </w:pPr>
      <w:r>
        <w:rPr/>
        <w:tab/>
      </w:r>
    </w:p>
    <w:p>
      <w:pPr>
        <w:pStyle w:val="Normal"/>
        <w:bidi w:val="0"/>
        <w:jc w:val="left"/>
        <w:rPr/>
      </w:pPr>
      <w:r>
        <w:rPr/>
        <w:tab/>
        <w:t>mode STRING</w:t>
        <w:tab/>
        <w:t xml:space="preserve">{read w, </w:t>
      </w:r>
    </w:p>
    <w:p>
      <w:pPr>
        <w:pStyle w:val="Normal"/>
        <w:bidi w:val="0"/>
        <w:jc w:val="left"/>
        <w:rPr/>
      </w:pPr>
      <w:r>
        <w:rPr/>
        <w:tab/>
        <w:tab/>
        <w:tab/>
        <w:t>write 1’</w:t>
      </w:r>
    </w:p>
    <w:p>
      <w:pPr>
        <w:pStyle w:val="Normal"/>
        <w:bidi w:val="0"/>
        <w:jc w:val="left"/>
        <w:rPr/>
      </w:pPr>
      <w:r>
        <w:rPr/>
        <w:tab/>
        <w:tab/>
        <w:tab/>
      </w:r>
    </w:p>
    <w:p>
      <w:pPr>
        <w:pStyle w:val="Normal"/>
        <w:bidi w:val="0"/>
        <w:jc w:val="left"/>
        <w:rPr/>
      </w:pPr>
      <w:r>
        <w:rPr/>
        <w:tab/>
        <w:tab/>
        <w:tab/>
        <w:t>del 2}</w:t>
      </w:r>
    </w:p>
    <w:p>
      <w:pPr>
        <w:pStyle w:val="Normal"/>
        <w:bidi w:val="0"/>
        <w:jc w:val="left"/>
        <w:rPr/>
      </w:pPr>
      <w:r>
        <w:rPr/>
      </w:r>
    </w:p>
    <w:p>
      <w:pPr>
        <w:pStyle w:val="Normal"/>
        <w:bidi w:val="0"/>
        <w:jc w:val="left"/>
        <w:rPr/>
      </w:pPr>
      <w:r>
        <w:rPr/>
        <w:t>pass::=choice{OCTETSTRING, PrintableString}</w:t>
      </w:r>
    </w:p>
    <w:p>
      <w:pPr>
        <w:pStyle w:val="Normal"/>
        <w:bidi w:val="0"/>
        <w:jc w:val="left"/>
        <w:rPr/>
      </w:pPr>
      <w:r>
        <w:rPr/>
      </w:r>
    </w:p>
    <w:p>
      <w:pPr>
        <w:pStyle w:val="Normal"/>
        <w:bidi w:val="0"/>
        <w:jc w:val="left"/>
        <w:rPr/>
      </w:pPr>
      <w:r>
        <w:rPr/>
      </w:r>
    </w:p>
    <w:p>
      <w:pPr>
        <w:pStyle w:val="Normal"/>
        <w:bidi w:val="0"/>
        <w:jc w:val="left"/>
        <w:rPr>
          <w:b/>
          <w:b/>
          <w:bCs/>
        </w:rPr>
      </w:pPr>
      <w:r>
        <w:rPr>
          <w:b/>
          <w:bCs/>
        </w:rPr>
        <w:tab/>
        <w:t>5. Write in SMI-v2 MIB standard</w:t>
      </w:r>
    </w:p>
    <w:p>
      <w:pPr>
        <w:pStyle w:val="Normal"/>
        <w:bidi w:val="0"/>
        <w:jc w:val="left"/>
        <w:rPr>
          <w:b/>
          <w:b/>
          <w:bCs/>
        </w:rPr>
      </w:pPr>
      <w:r>
        <w:rPr>
          <w:b/>
          <w:bCs/>
        </w:rPr>
      </w:r>
    </w:p>
    <w:p>
      <w:pPr>
        <w:pStyle w:val="Normal"/>
        <w:bidi w:val="0"/>
        <w:jc w:val="left"/>
        <w:rPr>
          <w:b/>
          <w:b/>
          <w:bCs/>
        </w:rPr>
      </w:pPr>
      <w:r>
        <w:rPr>
          <w:b/>
          <w:bCs/>
        </w:rPr>
        <w:t>--Definition of Address</w:t>
      </w:r>
    </w:p>
    <w:p>
      <w:pPr>
        <w:pStyle w:val="Normal"/>
        <w:bidi w:val="0"/>
        <w:jc w:val="left"/>
        <w:rPr>
          <w:b/>
          <w:b/>
          <w:bCs/>
        </w:rPr>
      </w:pPr>
      <w:r>
        <w:rPr>
          <w:b/>
          <w:bCs/>
        </w:rPr>
      </w:r>
    </w:p>
    <w:p>
      <w:pPr>
        <w:pStyle w:val="Normal"/>
        <w:bidi w:val="0"/>
        <w:jc w:val="left"/>
        <w:rPr/>
      </w:pPr>
      <w:r>
        <w:rPr/>
        <w:t xml:space="preserve">address </w:t>
        <w:tab/>
        <w:t>OBJECT-TYPE</w:t>
      </w:r>
    </w:p>
    <w:p>
      <w:pPr>
        <w:pStyle w:val="Normal"/>
        <w:bidi w:val="0"/>
        <w:jc w:val="left"/>
        <w:rPr/>
      </w:pPr>
      <w:r>
        <w:rPr/>
        <w:t>SYNTAX</w:t>
        <w:tab/>
      </w:r>
      <w:r>
        <w:rPr/>
        <w:t>192.165.90.12</w:t>
      </w:r>
    </w:p>
    <w:p>
      <w:pPr>
        <w:pStyle w:val="Normal"/>
        <w:bidi w:val="0"/>
        <w:jc w:val="left"/>
        <w:rPr/>
      </w:pPr>
      <w:r>
        <w:rPr/>
        <w:t>MAX-ACCESS</w:t>
        <w:tab/>
        <w:t>read-write</w:t>
      </w:r>
    </w:p>
    <w:p>
      <w:pPr>
        <w:pStyle w:val="Normal"/>
        <w:bidi w:val="0"/>
        <w:jc w:val="left"/>
        <w:rPr/>
      </w:pPr>
      <w:r>
        <w:rPr/>
        <w:t>STATUS</w:t>
        <w:tab/>
        <w:tab/>
        <w:t>current</w:t>
      </w:r>
    </w:p>
    <w:p>
      <w:pPr>
        <w:pStyle w:val="Normal"/>
        <w:bidi w:val="0"/>
        <w:jc w:val="left"/>
        <w:rPr/>
      </w:pPr>
      <w:r>
        <w:rPr/>
        <w:t xml:space="preserve">DESCRIPTION </w:t>
        <w:tab/>
        <w:t>“studentName-StudentID-MIB</w:t>
      </w:r>
    </w:p>
    <w:p>
      <w:pPr>
        <w:pStyle w:val="Normal"/>
        <w:bidi w:val="0"/>
        <w:jc w:val="left"/>
        <w:rPr>
          <w:b/>
        </w:rPr>
      </w:pPr>
      <w:r>
        <w:rPr>
          <w:b/>
          <w:bCs/>
        </w:rPr>
        <w:t>::={</w:t>
      </w:r>
      <w:r>
        <w:rPr>
          <w:rFonts w:ascii="Roboto;sans-serif" w:hAnsi="Roboto;sans-serif"/>
          <w:b w:val="false"/>
          <w:i w:val="false"/>
          <w:caps w:val="false"/>
          <w:smallCaps w:val="false"/>
          <w:color w:val="444444"/>
          <w:spacing w:val="0"/>
          <w:sz w:val="23"/>
        </w:rPr>
        <w:t>1.3.6.1.2.1.1.3.0</w:t>
      </w:r>
      <w:r>
        <w:rPr>
          <w:b/>
          <w:bCs/>
        </w:rPr>
        <w: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roman"/>
    <w:pitch w:val="variable"/>
  </w:font>
  <w:font w:name="Roboto">
    <w:altName w:val="sans-serif"/>
    <w:charset w:val="01"/>
    <w:family w:val="auto"/>
    <w:pitch w:val="default"/>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Bitstream Vera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Bitstream Vera Sans"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Bitstream Vera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LibreOffice/7.0.4.2$Linux_X86_64 LibreOffice_project/00$Build-2</Application>
  <AppVersion>15.0000</AppVersion>
  <Pages>3</Pages>
  <Words>834</Words>
  <Characters>4577</Characters>
  <CharactersWithSpaces>5394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2021-04-11T08:33:57Z</dcterms:created>
  <dc:creator/>
  <dc:description/>
  <dc:language>en-US</dc:language>
  <cp:lastModifiedBy/>
  <dcterms:modified xsi:type="dcterms:W3CDTF">2021-04-11T09:48:24Z</dcterms:modified>
  <cp:revision>8</cp:revision>
  <dc:subject/>
  <dc:title/>
</cp:coreProperties>
</file>