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4C4F60C" w14:textId="77777777" w:rsidR="00634FCA" w:rsidRDefault="00634FCA" w:rsidP="00922BCF">
      <w:pPr>
        <w:spacing w:line="480" w:lineRule="auto"/>
        <w:ind w:firstLine="720"/>
        <w:jc w:val="center"/>
      </w:pPr>
      <w:r>
        <w:t xml:space="preserve">Primary and Secondary Immunity </w:t>
      </w:r>
    </w:p>
    <w:p w14:paraId="6CCB5F0E" w14:textId="23202073"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1DD179A2" w14:textId="77777777" w:rsidR="00634FCA" w:rsidRDefault="00634FCA" w:rsidP="00634FCA">
      <w:pPr>
        <w:spacing w:line="480" w:lineRule="auto"/>
        <w:ind w:firstLine="720"/>
        <w:jc w:val="center"/>
      </w:pPr>
      <w:r>
        <w:lastRenderedPageBreak/>
        <w:t>Primary and Secondary Immunity</w:t>
      </w:r>
    </w:p>
    <w:p w14:paraId="1ED1B8AC" w14:textId="19E5785A" w:rsidR="00634FCA" w:rsidRPr="00934333" w:rsidRDefault="00634FCA" w:rsidP="00934333">
      <w:pPr>
        <w:spacing w:line="480" w:lineRule="auto"/>
        <w:ind w:firstLine="720"/>
        <w:jc w:val="center"/>
        <w:rPr>
          <w:b/>
        </w:rPr>
      </w:pPr>
      <w:r w:rsidRPr="00934333">
        <w:rPr>
          <w:b/>
        </w:rPr>
        <w:t>Question 1</w:t>
      </w:r>
      <w:r w:rsidR="00934333">
        <w:rPr>
          <w:b/>
        </w:rPr>
        <w:t>.</w:t>
      </w:r>
    </w:p>
    <w:p w14:paraId="658F9DB2" w14:textId="23C802AD" w:rsidR="00232EC4" w:rsidRDefault="00634FCA" w:rsidP="00634FCA">
      <w:pPr>
        <w:spacing w:line="480" w:lineRule="auto"/>
        <w:ind w:firstLine="720"/>
      </w:pPr>
      <w:r>
        <w:t>Part b</w:t>
      </w:r>
      <w:r w:rsidR="004A5251">
        <w:t>.</w:t>
      </w:r>
      <w:r>
        <w:t xml:space="preserve"> of the graph represents Jamie’s immune response. Since she had received the HIB vaccine, </w:t>
      </w:r>
      <w:r w:rsidR="00917DA2">
        <w:t xml:space="preserve">her antibodies </w:t>
      </w:r>
      <w:r w:rsidR="008B1D3D">
        <w:t>had recently interacted with the pathogen</w:t>
      </w:r>
      <w:r w:rsidR="00934333">
        <w:t xml:space="preserve"> (</w:t>
      </w:r>
      <w:r w:rsidR="00934333">
        <w:rPr>
          <w:rFonts w:eastAsia="Calibri"/>
        </w:rPr>
        <w:t>Cobey &amp; Hensley, 2017)</w:t>
      </w:r>
      <w:r w:rsidR="008B1D3D">
        <w:t xml:space="preserve">. Thus, they were ready to respond as soon as Jamie was exposed to </w:t>
      </w:r>
      <w:r w:rsidR="008B1D3D" w:rsidRPr="008B1D3D">
        <w:t>Haemophilus infleunzae Meningitis</w:t>
      </w:r>
      <w:r w:rsidR="00232EC4">
        <w:t>.</w:t>
      </w:r>
    </w:p>
    <w:p w14:paraId="6D33C837" w14:textId="1FBFBDEA" w:rsidR="00232EC4" w:rsidRPr="00934333" w:rsidRDefault="00232EC4" w:rsidP="00934333">
      <w:pPr>
        <w:spacing w:line="480" w:lineRule="auto"/>
        <w:ind w:firstLine="720"/>
        <w:jc w:val="center"/>
        <w:rPr>
          <w:b/>
        </w:rPr>
      </w:pPr>
      <w:r w:rsidRPr="00934333">
        <w:rPr>
          <w:b/>
        </w:rPr>
        <w:t>Question 2</w:t>
      </w:r>
      <w:r w:rsidR="00934333">
        <w:rPr>
          <w:b/>
        </w:rPr>
        <w:t>.</w:t>
      </w:r>
    </w:p>
    <w:p w14:paraId="3015C9CD" w14:textId="47124AAF" w:rsidR="00232EC4" w:rsidRDefault="00232EC4" w:rsidP="00634FCA">
      <w:pPr>
        <w:spacing w:line="480" w:lineRule="auto"/>
        <w:ind w:firstLine="720"/>
      </w:pPr>
      <w:r>
        <w:t xml:space="preserve">Part </w:t>
      </w:r>
      <w:r w:rsidR="0000730B">
        <w:t>a</w:t>
      </w:r>
      <w:r w:rsidR="004A5251">
        <w:t>.</w:t>
      </w:r>
      <w:r>
        <w:t xml:space="preserve"> of the graph represents Stephanie’s immune response. Since she had not been immunized, the antibodies are interacting with the pathogen for the first time</w:t>
      </w:r>
      <w:r w:rsidR="00934333">
        <w:t xml:space="preserve"> (</w:t>
      </w:r>
      <w:r w:rsidR="00934333">
        <w:rPr>
          <w:rFonts w:eastAsia="Calibri"/>
        </w:rPr>
        <w:t>Cobey &amp; Hensley, 2017)</w:t>
      </w:r>
      <w:r>
        <w:t xml:space="preserve">. Therefore, the antibodies </w:t>
      </w:r>
      <w:r w:rsidR="0000730B">
        <w:t>will be produced</w:t>
      </w:r>
      <w:r>
        <w:t xml:space="preserve"> to fight H. Infleunzae </w:t>
      </w:r>
      <w:r w:rsidR="0000730B">
        <w:t>after a while</w:t>
      </w:r>
      <w:r>
        <w:t xml:space="preserve"> upon </w:t>
      </w:r>
      <w:r w:rsidR="0000730B">
        <w:t>introduction of the</w:t>
      </w:r>
      <w:r>
        <w:t xml:space="preserve"> pathogen</w:t>
      </w:r>
      <w:r w:rsidR="0000730B">
        <w:t xml:space="preserve"> to the body</w:t>
      </w:r>
      <w:r>
        <w:t>.</w:t>
      </w:r>
    </w:p>
    <w:p w14:paraId="61B281FE" w14:textId="1B86DC57" w:rsidR="00232EC4" w:rsidRPr="00934333" w:rsidRDefault="00232EC4" w:rsidP="00934333">
      <w:pPr>
        <w:spacing w:line="480" w:lineRule="auto"/>
        <w:ind w:firstLine="720"/>
        <w:jc w:val="center"/>
        <w:rPr>
          <w:b/>
        </w:rPr>
      </w:pPr>
      <w:r w:rsidRPr="00934333">
        <w:rPr>
          <w:b/>
        </w:rPr>
        <w:t>Question 3</w:t>
      </w:r>
      <w:r w:rsidR="00934333">
        <w:rPr>
          <w:b/>
        </w:rPr>
        <w:t>.</w:t>
      </w:r>
    </w:p>
    <w:p w14:paraId="71B88359" w14:textId="4B1B7E4A" w:rsidR="005D44D3" w:rsidRDefault="00232EC4" w:rsidP="00634FCA">
      <w:pPr>
        <w:spacing w:line="480" w:lineRule="auto"/>
        <w:ind w:firstLine="720"/>
      </w:pPr>
      <w:r>
        <w:t>P</w:t>
      </w:r>
      <w:r w:rsidR="005D44D3">
        <w:t>art d</w:t>
      </w:r>
      <w:r w:rsidR="004A5251">
        <w:t>.</w:t>
      </w:r>
      <w:r>
        <w:t xml:space="preserve"> of the graph represents Jamie’s potential transmission of the tetanus endospore. As </w:t>
      </w:r>
      <w:r w:rsidR="005D44D3">
        <w:t>her body continues to protect itself from the H. Infleunzae, the immune system against tetanus endospore is developed. However, since Jamie had immunized against tetanus endospore 15 years ago, transmission probability is high, before the immune system recognizes the pathogen and begins to fight against it</w:t>
      </w:r>
      <w:r w:rsidR="00934333">
        <w:t xml:space="preserve"> (</w:t>
      </w:r>
      <w:r w:rsidR="00934333">
        <w:rPr>
          <w:rFonts w:eastAsia="Calibri"/>
        </w:rPr>
        <w:t>Cobey &amp; Hensley, 2017)</w:t>
      </w:r>
      <w:r w:rsidR="005D44D3">
        <w:t>.</w:t>
      </w:r>
    </w:p>
    <w:p w14:paraId="5E282E4D" w14:textId="4FF23FD0" w:rsidR="005D44D3" w:rsidRPr="00934333" w:rsidRDefault="005D44D3" w:rsidP="00934333">
      <w:pPr>
        <w:spacing w:line="480" w:lineRule="auto"/>
        <w:ind w:firstLine="720"/>
        <w:jc w:val="center"/>
        <w:rPr>
          <w:b/>
        </w:rPr>
      </w:pPr>
      <w:r w:rsidRPr="00934333">
        <w:rPr>
          <w:b/>
        </w:rPr>
        <w:t>Question 4</w:t>
      </w:r>
      <w:r w:rsidR="00934333" w:rsidRPr="00934333">
        <w:rPr>
          <w:b/>
        </w:rPr>
        <w:t>.</w:t>
      </w:r>
    </w:p>
    <w:p w14:paraId="58E94F18" w14:textId="78C8B5BF" w:rsidR="009F0088" w:rsidRDefault="005D44D3" w:rsidP="00634FCA">
      <w:pPr>
        <w:spacing w:line="480" w:lineRule="auto"/>
        <w:ind w:firstLine="720"/>
        <w:rPr>
          <w:rFonts w:eastAsia="Calibri"/>
        </w:rPr>
      </w:pPr>
      <w:r>
        <w:rPr>
          <w:rFonts w:eastAsia="Calibri"/>
        </w:rPr>
        <w:t>Part a</w:t>
      </w:r>
      <w:r w:rsidR="004A5251">
        <w:rPr>
          <w:rFonts w:eastAsia="Calibri"/>
        </w:rPr>
        <w:t>.</w:t>
      </w:r>
      <w:r>
        <w:rPr>
          <w:rFonts w:eastAsia="Calibri"/>
        </w:rPr>
        <w:t xml:space="preserve"> of the graph represents John’s initial immune response against </w:t>
      </w:r>
      <w:r w:rsidRPr="005D44D3">
        <w:rPr>
          <w:rFonts w:eastAsia="Calibri"/>
        </w:rPr>
        <w:t>B</w:t>
      </w:r>
      <w:r>
        <w:rPr>
          <w:rFonts w:eastAsia="Calibri"/>
        </w:rPr>
        <w:t>.</w:t>
      </w:r>
      <w:r w:rsidRPr="005D44D3">
        <w:rPr>
          <w:rFonts w:eastAsia="Calibri"/>
        </w:rPr>
        <w:t xml:space="preserve"> melitensis</w:t>
      </w:r>
      <w:r>
        <w:rPr>
          <w:rFonts w:eastAsia="Calibri"/>
        </w:rPr>
        <w:t xml:space="preserve">. John Immune system does not recognize the </w:t>
      </w:r>
      <w:r w:rsidR="009F0088">
        <w:rPr>
          <w:rFonts w:eastAsia="Calibri"/>
        </w:rPr>
        <w:t>pathogen at first</w:t>
      </w:r>
      <w:r w:rsidR="00934333">
        <w:rPr>
          <w:rFonts w:eastAsia="Calibri"/>
        </w:rPr>
        <w:t xml:space="preserve"> </w:t>
      </w:r>
      <w:r w:rsidR="00934333">
        <w:t>(</w:t>
      </w:r>
      <w:r w:rsidR="00934333">
        <w:rPr>
          <w:rFonts w:eastAsia="Calibri"/>
        </w:rPr>
        <w:t>Cobey &amp; Hensley, 2017)</w:t>
      </w:r>
      <w:r w:rsidR="009F0088">
        <w:rPr>
          <w:rFonts w:eastAsia="Calibri"/>
        </w:rPr>
        <w:t xml:space="preserve">. Thus the antibodies will not have been produced in the first stages of contracting </w:t>
      </w:r>
      <w:r w:rsidR="009F0088" w:rsidRPr="009F0088">
        <w:rPr>
          <w:rFonts w:eastAsia="Calibri"/>
        </w:rPr>
        <w:t>B melitensis</w:t>
      </w:r>
      <w:r w:rsidR="009F0088">
        <w:rPr>
          <w:rFonts w:eastAsia="Calibri"/>
        </w:rPr>
        <w:t>.</w:t>
      </w:r>
    </w:p>
    <w:p w14:paraId="12DE3C6D" w14:textId="46F14A8F" w:rsidR="009F0088" w:rsidRDefault="009F0088" w:rsidP="00634FCA">
      <w:pPr>
        <w:spacing w:line="480" w:lineRule="auto"/>
        <w:ind w:firstLine="720"/>
        <w:rPr>
          <w:rFonts w:eastAsia="Calibri"/>
        </w:rPr>
      </w:pPr>
      <w:r>
        <w:rPr>
          <w:rFonts w:eastAsia="Calibri"/>
        </w:rPr>
        <w:t>Part d</w:t>
      </w:r>
      <w:r w:rsidR="004A5251">
        <w:rPr>
          <w:rFonts w:eastAsia="Calibri"/>
        </w:rPr>
        <w:t>.</w:t>
      </w:r>
      <w:r>
        <w:rPr>
          <w:rFonts w:eastAsia="Calibri"/>
        </w:rPr>
        <w:t xml:space="preserve"> of the graph represents John’s initial immune system against </w:t>
      </w:r>
      <w:r w:rsidRPr="009F0088">
        <w:rPr>
          <w:rFonts w:eastAsia="Calibri"/>
        </w:rPr>
        <w:t xml:space="preserve">B. abortus. </w:t>
      </w:r>
      <w:r>
        <w:rPr>
          <w:rFonts w:eastAsia="Calibri"/>
        </w:rPr>
        <w:t xml:space="preserve">Since he had been diagnosed with the </w:t>
      </w:r>
      <w:r w:rsidRPr="009F0088">
        <w:rPr>
          <w:rFonts w:eastAsia="Calibri"/>
        </w:rPr>
        <w:t xml:space="preserve">brucellosis </w:t>
      </w:r>
      <w:r>
        <w:rPr>
          <w:rFonts w:eastAsia="Calibri"/>
        </w:rPr>
        <w:t>which is caused by the same pathogen, the immune system remembers it and quickly responds by producing the necessary antibodies</w:t>
      </w:r>
      <w:r w:rsidR="00934333">
        <w:rPr>
          <w:rFonts w:eastAsia="Calibri"/>
        </w:rPr>
        <w:t xml:space="preserve"> (</w:t>
      </w:r>
      <w:r w:rsidR="00934333" w:rsidRPr="00934333">
        <w:rPr>
          <w:rFonts w:eastAsia="Calibri"/>
        </w:rPr>
        <w:t>Ferrero</w:t>
      </w:r>
      <w:r w:rsidR="00934333">
        <w:rPr>
          <w:rFonts w:eastAsia="Calibri"/>
        </w:rPr>
        <w:t xml:space="preserve"> at al., 2020)</w:t>
      </w:r>
      <w:r>
        <w:rPr>
          <w:rFonts w:eastAsia="Calibri"/>
        </w:rPr>
        <w:t>.</w:t>
      </w:r>
    </w:p>
    <w:p w14:paraId="1AD8143B" w14:textId="77777777" w:rsidR="009F0088" w:rsidRDefault="009F0088" w:rsidP="00634FCA">
      <w:pPr>
        <w:spacing w:line="480" w:lineRule="auto"/>
        <w:ind w:firstLine="720"/>
        <w:rPr>
          <w:rFonts w:eastAsia="Calibri"/>
        </w:rPr>
      </w:pPr>
      <w:r>
        <w:rPr>
          <w:rFonts w:eastAsia="Calibri"/>
        </w:rPr>
        <w:t>John had active immunity.</w:t>
      </w:r>
    </w:p>
    <w:p w14:paraId="0BD5D14A" w14:textId="77777777" w:rsidR="009F0088" w:rsidRPr="00934333" w:rsidRDefault="009F0088" w:rsidP="00934333">
      <w:pPr>
        <w:spacing w:line="480" w:lineRule="auto"/>
        <w:ind w:firstLine="720"/>
        <w:jc w:val="center"/>
        <w:rPr>
          <w:rFonts w:eastAsia="Calibri"/>
          <w:b/>
        </w:rPr>
      </w:pPr>
      <w:r w:rsidRPr="00934333">
        <w:rPr>
          <w:rFonts w:eastAsia="Calibri"/>
          <w:b/>
        </w:rPr>
        <w:t>Question 5.</w:t>
      </w:r>
    </w:p>
    <w:p w14:paraId="51EF2AD0" w14:textId="31C638A0" w:rsidR="00960259" w:rsidRDefault="009F0088" w:rsidP="00634FCA">
      <w:pPr>
        <w:spacing w:line="480" w:lineRule="auto"/>
        <w:ind w:firstLine="720"/>
        <w:rPr>
          <w:rFonts w:eastAsia="Calibri"/>
        </w:rPr>
      </w:pPr>
      <w:r>
        <w:rPr>
          <w:rFonts w:eastAsia="Calibri"/>
        </w:rPr>
        <w:t xml:space="preserve">The peak antibody production </w:t>
      </w:r>
      <w:r w:rsidR="00960259">
        <w:rPr>
          <w:rFonts w:eastAsia="Calibri"/>
        </w:rPr>
        <w:t>against</w:t>
      </w:r>
      <w:r>
        <w:rPr>
          <w:rFonts w:eastAsia="Calibri"/>
        </w:rPr>
        <w:t xml:space="preserve"> </w:t>
      </w:r>
      <w:r w:rsidR="00960259" w:rsidRPr="009F0088">
        <w:rPr>
          <w:rFonts w:eastAsia="Calibri"/>
        </w:rPr>
        <w:t>B melitensis</w:t>
      </w:r>
      <w:r w:rsidR="00960259">
        <w:rPr>
          <w:rFonts w:eastAsia="Calibri"/>
        </w:rPr>
        <w:t xml:space="preserve"> is past part c</w:t>
      </w:r>
      <w:r w:rsidR="004A5251">
        <w:rPr>
          <w:rFonts w:eastAsia="Calibri"/>
        </w:rPr>
        <w:t>.</w:t>
      </w:r>
      <w:r w:rsidR="00960259">
        <w:rPr>
          <w:rFonts w:eastAsia="Calibri"/>
        </w:rPr>
        <w:t xml:space="preserve"> of the graph. At this point, the antibodies have tackled the pathogen, then realized that the body is not completely immune</w:t>
      </w:r>
      <w:r w:rsidR="00934333">
        <w:rPr>
          <w:rFonts w:eastAsia="Calibri"/>
        </w:rPr>
        <w:t xml:space="preserve"> (</w:t>
      </w:r>
      <w:r w:rsidR="00934333" w:rsidRPr="00934333">
        <w:rPr>
          <w:rFonts w:eastAsia="Calibri"/>
        </w:rPr>
        <w:t>Ferrero</w:t>
      </w:r>
      <w:r w:rsidR="00934333">
        <w:rPr>
          <w:rFonts w:eastAsia="Calibri"/>
        </w:rPr>
        <w:t xml:space="preserve"> at al., 2020)</w:t>
      </w:r>
      <w:r w:rsidR="00960259">
        <w:rPr>
          <w:rFonts w:eastAsia="Calibri"/>
        </w:rPr>
        <w:t>. Antibodies are then produced rapidly to just above point c of the graph.</w:t>
      </w:r>
    </w:p>
    <w:p w14:paraId="7BAEC43C" w14:textId="1C772273" w:rsidR="00960259" w:rsidRDefault="00960259" w:rsidP="00634FCA">
      <w:pPr>
        <w:spacing w:line="480" w:lineRule="auto"/>
        <w:ind w:firstLine="720"/>
        <w:rPr>
          <w:rFonts w:eastAsia="Calibri"/>
        </w:rPr>
      </w:pPr>
      <w:r>
        <w:rPr>
          <w:rFonts w:eastAsia="Calibri"/>
        </w:rPr>
        <w:t xml:space="preserve">The peak antibody production against </w:t>
      </w:r>
      <w:r w:rsidRPr="009F0088">
        <w:rPr>
          <w:rFonts w:eastAsia="Calibri"/>
        </w:rPr>
        <w:t>B. abortus</w:t>
      </w:r>
      <w:r>
        <w:rPr>
          <w:rFonts w:eastAsia="Calibri"/>
        </w:rPr>
        <w:t xml:space="preserve"> is part e</w:t>
      </w:r>
      <w:r w:rsidR="004A5251">
        <w:rPr>
          <w:rFonts w:eastAsia="Calibri"/>
        </w:rPr>
        <w:t>.</w:t>
      </w:r>
      <w:r>
        <w:rPr>
          <w:rFonts w:eastAsia="Calibri"/>
        </w:rPr>
        <w:t xml:space="preserve"> of the graph. The antibodies had interacted with </w:t>
      </w:r>
      <w:r w:rsidRPr="009F0088">
        <w:rPr>
          <w:rFonts w:eastAsia="Calibri"/>
        </w:rPr>
        <w:t>B. abortus</w:t>
      </w:r>
      <w:r>
        <w:rPr>
          <w:rFonts w:eastAsia="Calibri"/>
        </w:rPr>
        <w:t xml:space="preserve"> before and obtained the tactics of protecting the body against it</w:t>
      </w:r>
      <w:r w:rsidR="00934333">
        <w:rPr>
          <w:rFonts w:eastAsia="Calibri"/>
        </w:rPr>
        <w:t xml:space="preserve"> (</w:t>
      </w:r>
      <w:r w:rsidR="00934333" w:rsidRPr="00934333">
        <w:rPr>
          <w:rFonts w:eastAsia="Calibri"/>
        </w:rPr>
        <w:t>Ferrero</w:t>
      </w:r>
      <w:r w:rsidR="00934333">
        <w:rPr>
          <w:rFonts w:eastAsia="Calibri"/>
        </w:rPr>
        <w:t xml:space="preserve"> at al., 2020)</w:t>
      </w:r>
      <w:r>
        <w:rPr>
          <w:rFonts w:eastAsia="Calibri"/>
        </w:rPr>
        <w:t>. Thus the peak antibody production does not have to be very high.</w:t>
      </w:r>
    </w:p>
    <w:p w14:paraId="17B4B138" w14:textId="77777777" w:rsidR="00960259" w:rsidRPr="00934333" w:rsidRDefault="00960259" w:rsidP="00934333">
      <w:pPr>
        <w:spacing w:line="480" w:lineRule="auto"/>
        <w:ind w:firstLine="720"/>
        <w:jc w:val="center"/>
        <w:rPr>
          <w:rFonts w:eastAsia="Calibri"/>
          <w:b/>
        </w:rPr>
      </w:pPr>
      <w:r w:rsidRPr="00934333">
        <w:rPr>
          <w:rFonts w:eastAsia="Calibri"/>
          <w:b/>
        </w:rPr>
        <w:t>Question 6.</w:t>
      </w:r>
    </w:p>
    <w:p w14:paraId="07CE5322" w14:textId="217164D4" w:rsidR="00960259" w:rsidRDefault="00960259" w:rsidP="00634FCA">
      <w:pPr>
        <w:spacing w:line="480" w:lineRule="auto"/>
        <w:ind w:firstLine="720"/>
        <w:rPr>
          <w:rFonts w:eastAsia="Calibri"/>
        </w:rPr>
      </w:pPr>
      <w:r>
        <w:rPr>
          <w:rFonts w:eastAsia="Calibri"/>
        </w:rPr>
        <w:t>John’s immune response to B. suis would be represented by part a</w:t>
      </w:r>
      <w:r w:rsidR="004A5251">
        <w:rPr>
          <w:rFonts w:eastAsia="Calibri"/>
        </w:rPr>
        <w:t>.</w:t>
      </w:r>
      <w:r>
        <w:rPr>
          <w:rFonts w:eastAsia="Calibri"/>
        </w:rPr>
        <w:t xml:space="preserve"> of the graph. The immune system will be recognizing the pathogen for the first time and will take time before producing the needed antibodies.</w:t>
      </w:r>
    </w:p>
    <w:p w14:paraId="1121FE26" w14:textId="5EE69BC2" w:rsidR="00EC4D1B" w:rsidRDefault="00C5588F" w:rsidP="00634FCA">
      <w:pPr>
        <w:spacing w:line="480" w:lineRule="auto"/>
        <w:ind w:firstLine="720"/>
        <w:rPr>
          <w:rFonts w:eastAsia="Calibri"/>
        </w:rPr>
      </w:pPr>
      <w:r>
        <w:rPr>
          <w:rFonts w:eastAsia="Calibri"/>
        </w:rPr>
        <w:t xml:space="preserve">Transmission of </w:t>
      </w:r>
      <w:r w:rsidRPr="009F0088">
        <w:rPr>
          <w:rFonts w:eastAsia="Calibri"/>
        </w:rPr>
        <w:t>B. abortus</w:t>
      </w:r>
      <w:r>
        <w:rPr>
          <w:rFonts w:eastAsia="Calibri"/>
        </w:rPr>
        <w:t xml:space="preserve"> is mostly through ingestion of contaminated milk, or coming into contact with infected animals</w:t>
      </w:r>
      <w:r w:rsidR="00934333">
        <w:rPr>
          <w:rFonts w:eastAsia="Calibri"/>
        </w:rPr>
        <w:t xml:space="preserve"> (</w:t>
      </w:r>
      <w:r w:rsidR="00934333" w:rsidRPr="00934333">
        <w:rPr>
          <w:rFonts w:eastAsia="Calibri"/>
        </w:rPr>
        <w:t>Ferrero</w:t>
      </w:r>
      <w:r w:rsidR="00934333">
        <w:rPr>
          <w:rFonts w:eastAsia="Calibri"/>
        </w:rPr>
        <w:t xml:space="preserve"> at al., 2020)</w:t>
      </w:r>
      <w:r>
        <w:rPr>
          <w:rFonts w:eastAsia="Calibri"/>
        </w:rPr>
        <w:t xml:space="preserve">. Transmission of </w:t>
      </w:r>
      <w:r w:rsidRPr="009F0088">
        <w:rPr>
          <w:rFonts w:eastAsia="Calibri"/>
        </w:rPr>
        <w:t>B melitensis</w:t>
      </w:r>
      <w:r>
        <w:rPr>
          <w:rFonts w:eastAsia="Calibri"/>
        </w:rPr>
        <w:t xml:space="preserve"> is throughcoming into contact with infected animals. Transmission of B. suis is mainly through </w:t>
      </w:r>
      <w:r w:rsidR="00EC4D1B">
        <w:rPr>
          <w:rFonts w:eastAsia="Calibri"/>
        </w:rPr>
        <w:t>ingestion of infected animal’s tissues and fluids such as semen during breeding, or while suckling infected animals.</w:t>
      </w:r>
    </w:p>
    <w:p w14:paraId="329BE757" w14:textId="3B59DB60" w:rsidR="00E96A0F" w:rsidRDefault="00EC4D1B" w:rsidP="00634FCA">
      <w:pPr>
        <w:spacing w:line="480" w:lineRule="auto"/>
        <w:ind w:firstLine="720"/>
        <w:rPr>
          <w:rFonts w:eastAsia="Calibri"/>
        </w:rPr>
      </w:pPr>
      <w:r>
        <w:rPr>
          <w:rFonts w:eastAsia="Calibri"/>
        </w:rPr>
        <w:t xml:space="preserve">Generally, the degree of mortality of </w:t>
      </w:r>
      <w:r w:rsidRPr="00EC4D1B">
        <w:rPr>
          <w:rFonts w:eastAsia="Calibri"/>
          <w:iCs/>
        </w:rPr>
        <w:t xml:space="preserve">brucellosis </w:t>
      </w:r>
      <w:r>
        <w:rPr>
          <w:rFonts w:eastAsia="Calibri"/>
          <w:iCs/>
        </w:rPr>
        <w:t>is low with a mortality rate of 2 percent annually. If an individual does not have complications, he/she is expected to survive.</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75DCB6B3" w:rsidR="00C61E67" w:rsidRDefault="00934333" w:rsidP="00C61E67">
      <w:pPr>
        <w:spacing w:line="480" w:lineRule="auto"/>
        <w:ind w:left="720" w:hanging="720"/>
        <w:rPr>
          <w:rFonts w:eastAsia="Calibri"/>
        </w:rPr>
      </w:pPr>
      <w:r w:rsidRPr="00934333">
        <w:rPr>
          <w:rFonts w:eastAsia="Calibri"/>
        </w:rPr>
        <w:t>Cobey, S., &amp; Hensley, S. E. (2017). Immune history and influenza virus susceptibility. </w:t>
      </w:r>
      <w:r w:rsidRPr="00934333">
        <w:rPr>
          <w:rFonts w:eastAsia="Calibri"/>
          <w:i/>
          <w:iCs/>
        </w:rPr>
        <w:t>Current opinion in virology</w:t>
      </w:r>
      <w:r w:rsidRPr="00934333">
        <w:rPr>
          <w:rFonts w:eastAsia="Calibri"/>
        </w:rPr>
        <w:t>, </w:t>
      </w:r>
      <w:r w:rsidRPr="00934333">
        <w:rPr>
          <w:rFonts w:eastAsia="Calibri"/>
          <w:i/>
          <w:iCs/>
        </w:rPr>
        <w:t>22</w:t>
      </w:r>
      <w:r w:rsidRPr="00934333">
        <w:rPr>
          <w:rFonts w:eastAsia="Calibri"/>
        </w:rPr>
        <w:t>, 105-111.</w:t>
      </w:r>
    </w:p>
    <w:p w14:paraId="6DCAAA98" w14:textId="5F3B385B" w:rsidR="00934333" w:rsidRPr="00C61E67" w:rsidRDefault="00934333" w:rsidP="00934333">
      <w:pPr>
        <w:spacing w:line="480" w:lineRule="auto"/>
        <w:ind w:left="720" w:hanging="720"/>
        <w:rPr>
          <w:rFonts w:eastAsia="Calibri"/>
        </w:rPr>
      </w:pPr>
      <w:r w:rsidRPr="00934333">
        <w:rPr>
          <w:rFonts w:eastAsia="Calibri"/>
        </w:rPr>
        <w:t>Ferrero, M. C., Paiva, I. M. A., González, F. M., &amp; Baldi, P. C. (2020). Pathogenesis and immune response in Brucella infection acquired by the respiratory route. </w:t>
      </w:r>
      <w:r w:rsidRPr="00934333">
        <w:rPr>
          <w:rFonts w:eastAsia="Calibri"/>
          <w:i/>
          <w:iCs/>
        </w:rPr>
        <w:t>Microbes and Infection</w:t>
      </w:r>
      <w:r w:rsidRPr="00934333">
        <w:rPr>
          <w:rFonts w:eastAsia="Calibri"/>
        </w:rPr>
        <w:t>.</w:t>
      </w:r>
    </w:p>
    <w:sectPr w:rsidR="00934333"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7BE0D" w14:textId="77777777" w:rsidR="00AF74B0" w:rsidRDefault="00AF74B0">
      <w:pPr>
        <w:spacing w:after="0" w:line="240" w:lineRule="auto"/>
      </w:pPr>
      <w:r>
        <w:separator/>
      </w:r>
    </w:p>
  </w:endnote>
  <w:endnote w:type="continuationSeparator" w:id="0">
    <w:p w14:paraId="02AC05F9" w14:textId="77777777" w:rsidR="00AF74B0" w:rsidRDefault="00AF7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9631B" w14:textId="77777777" w:rsidR="00AF74B0" w:rsidRDefault="00AF74B0">
      <w:pPr>
        <w:spacing w:after="0" w:line="240" w:lineRule="auto"/>
      </w:pPr>
      <w:r>
        <w:separator/>
      </w:r>
    </w:p>
  </w:footnote>
  <w:footnote w:type="continuationSeparator" w:id="0">
    <w:p w14:paraId="27B47058" w14:textId="77777777" w:rsidR="00AF74B0" w:rsidRDefault="00AF74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E66D3C4" w:rsidR="000C5964" w:rsidRDefault="00634FCA">
    <w:pPr>
      <w:pStyle w:val="Header"/>
    </w:pPr>
    <w:r>
      <w:t>PRIMARY AND SECONDARY IMMUNITY</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C74C7D">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9B86CD1" w:rsidR="000C5964" w:rsidRDefault="00124E96" w:rsidP="005F776D">
    <w:pPr>
      <w:spacing w:line="480" w:lineRule="auto"/>
    </w:pPr>
    <w:r>
      <w:t xml:space="preserve">Running head: </w:t>
    </w:r>
    <w:r w:rsidR="00634FCA">
      <w:t>PRIMARY AND SECONDARY IMMUNITY</w:t>
    </w:r>
    <w:r w:rsidR="00134E38">
      <w:t xml:space="preserve">                                              </w:t>
    </w:r>
    <w:r w:rsidR="00750E45">
      <w:t xml:space="preserve">        </w:t>
    </w:r>
    <w:r>
      <w:fldChar w:fldCharType="begin"/>
    </w:r>
    <w:r>
      <w:instrText xml:space="preserve"> PAGE   \* MERGEFORMAT </w:instrText>
    </w:r>
    <w:r>
      <w:fldChar w:fldCharType="separate"/>
    </w:r>
    <w:r w:rsidR="00AF74B0">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0730B"/>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2EC4"/>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54400"/>
    <w:rsid w:val="00391085"/>
    <w:rsid w:val="00395457"/>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A5251"/>
    <w:rsid w:val="004F73FC"/>
    <w:rsid w:val="005178DE"/>
    <w:rsid w:val="00517D6B"/>
    <w:rsid w:val="00524E71"/>
    <w:rsid w:val="0052538C"/>
    <w:rsid w:val="005262DA"/>
    <w:rsid w:val="0053023C"/>
    <w:rsid w:val="00542539"/>
    <w:rsid w:val="005472A9"/>
    <w:rsid w:val="00562A86"/>
    <w:rsid w:val="00596F43"/>
    <w:rsid w:val="005C5173"/>
    <w:rsid w:val="005C6DE9"/>
    <w:rsid w:val="005D2B0E"/>
    <w:rsid w:val="005D44D3"/>
    <w:rsid w:val="005F4C23"/>
    <w:rsid w:val="005F776D"/>
    <w:rsid w:val="005F7CE7"/>
    <w:rsid w:val="00603148"/>
    <w:rsid w:val="0061517F"/>
    <w:rsid w:val="00634FCA"/>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7A9F"/>
    <w:rsid w:val="00811881"/>
    <w:rsid w:val="00871AF1"/>
    <w:rsid w:val="008978BA"/>
    <w:rsid w:val="008B14DF"/>
    <w:rsid w:val="008B1D3D"/>
    <w:rsid w:val="008D4196"/>
    <w:rsid w:val="008D5CDA"/>
    <w:rsid w:val="008E0EC4"/>
    <w:rsid w:val="008F4073"/>
    <w:rsid w:val="008F42A8"/>
    <w:rsid w:val="008F49DB"/>
    <w:rsid w:val="008F771A"/>
    <w:rsid w:val="00901608"/>
    <w:rsid w:val="00917DA2"/>
    <w:rsid w:val="00922BCF"/>
    <w:rsid w:val="00934333"/>
    <w:rsid w:val="00954BED"/>
    <w:rsid w:val="00960259"/>
    <w:rsid w:val="009649B3"/>
    <w:rsid w:val="00983CF5"/>
    <w:rsid w:val="00990F8C"/>
    <w:rsid w:val="009C5022"/>
    <w:rsid w:val="009E5128"/>
    <w:rsid w:val="009F008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AF74B0"/>
    <w:rsid w:val="00B106F8"/>
    <w:rsid w:val="00B31994"/>
    <w:rsid w:val="00B34385"/>
    <w:rsid w:val="00B3541B"/>
    <w:rsid w:val="00B651CF"/>
    <w:rsid w:val="00BD02AE"/>
    <w:rsid w:val="00C01E80"/>
    <w:rsid w:val="00C0278D"/>
    <w:rsid w:val="00C03D28"/>
    <w:rsid w:val="00C11D01"/>
    <w:rsid w:val="00C16B86"/>
    <w:rsid w:val="00C24DE0"/>
    <w:rsid w:val="00C419FC"/>
    <w:rsid w:val="00C5588F"/>
    <w:rsid w:val="00C61E67"/>
    <w:rsid w:val="00C66B5D"/>
    <w:rsid w:val="00C74C7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4D1B"/>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218B6-8723-4346-AAE4-90A4ABD3E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2020-07-01T02:20:00Z</dcterms:created>
  <dcterms:modified xsi:type="dcterms:W3CDTF">2020-07-01T02:20:00Z</dcterms:modified>
</cp:coreProperties>
</file>