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F0F340" w14:textId="7938B5E3" w:rsidR="0053085C" w:rsidRDefault="0053085C" w:rsidP="0053085C">
      <w:pPr>
        <w:ind w:firstLine="0"/>
        <w:rPr>
          <w:b/>
          <w:bCs/>
        </w:rPr>
      </w:pPr>
    </w:p>
    <w:p w14:paraId="0FA6C632" w14:textId="0C0E220A" w:rsidR="0053085C" w:rsidRDefault="0053085C" w:rsidP="0053085C">
      <w:pPr>
        <w:ind w:firstLine="0"/>
        <w:rPr>
          <w:b/>
          <w:bCs/>
        </w:rPr>
      </w:pPr>
    </w:p>
    <w:p w14:paraId="153CA41D" w14:textId="5270B524" w:rsidR="0053085C" w:rsidRDefault="0053085C" w:rsidP="0053085C">
      <w:pPr>
        <w:ind w:firstLine="0"/>
        <w:rPr>
          <w:b/>
          <w:bCs/>
        </w:rPr>
      </w:pPr>
    </w:p>
    <w:p w14:paraId="48E2004B" w14:textId="21320B66" w:rsidR="0053085C" w:rsidRDefault="0053085C" w:rsidP="0053085C">
      <w:pPr>
        <w:ind w:firstLine="0"/>
        <w:rPr>
          <w:b/>
          <w:bCs/>
        </w:rPr>
      </w:pPr>
    </w:p>
    <w:p w14:paraId="17EC0CD7" w14:textId="55B56434" w:rsidR="0053085C" w:rsidRDefault="0053085C" w:rsidP="0053085C">
      <w:pPr>
        <w:ind w:firstLine="0"/>
        <w:rPr>
          <w:b/>
          <w:bCs/>
        </w:rPr>
      </w:pPr>
    </w:p>
    <w:p w14:paraId="2AD1FF66" w14:textId="6A0FD0CC" w:rsidR="0053085C" w:rsidRDefault="0053085C" w:rsidP="0053085C">
      <w:pPr>
        <w:ind w:firstLine="0"/>
        <w:rPr>
          <w:b/>
          <w:bCs/>
        </w:rPr>
      </w:pPr>
    </w:p>
    <w:p w14:paraId="7BCA1040" w14:textId="11DE67E8" w:rsidR="0053085C" w:rsidRDefault="0053085C" w:rsidP="0053085C">
      <w:pPr>
        <w:ind w:firstLine="0"/>
        <w:rPr>
          <w:b/>
          <w:bCs/>
        </w:rPr>
      </w:pPr>
    </w:p>
    <w:p w14:paraId="1C44DE1D" w14:textId="77777777" w:rsidR="0053085C" w:rsidRDefault="0053085C" w:rsidP="0053085C">
      <w:pPr>
        <w:ind w:firstLine="0"/>
        <w:rPr>
          <w:b/>
          <w:bCs/>
        </w:rPr>
      </w:pPr>
    </w:p>
    <w:p w14:paraId="0A52B6F8" w14:textId="77777777" w:rsidR="0053085C" w:rsidRDefault="0053085C" w:rsidP="0053085C">
      <w:pPr>
        <w:ind w:firstLine="0"/>
        <w:rPr>
          <w:b/>
          <w:bCs/>
        </w:rPr>
      </w:pPr>
    </w:p>
    <w:p w14:paraId="652BF7B3" w14:textId="1B2F164B" w:rsidR="0053085C" w:rsidRDefault="0053085C" w:rsidP="0053085C">
      <w:pPr>
        <w:ind w:firstLine="0"/>
        <w:jc w:val="center"/>
      </w:pPr>
      <w:r>
        <w:t>Student’s Name</w:t>
      </w:r>
    </w:p>
    <w:p w14:paraId="5F99540C" w14:textId="37E49469" w:rsidR="00897C22" w:rsidRDefault="00897C22" w:rsidP="0053085C">
      <w:pPr>
        <w:ind w:firstLine="0"/>
        <w:jc w:val="center"/>
      </w:pPr>
      <w:r>
        <w:t>Professor’s Name</w:t>
      </w:r>
    </w:p>
    <w:p w14:paraId="78770E1D" w14:textId="47107FDE" w:rsidR="0053085C" w:rsidRDefault="00897C22" w:rsidP="0053085C">
      <w:pPr>
        <w:ind w:firstLine="0"/>
        <w:jc w:val="center"/>
      </w:pPr>
      <w:r>
        <w:t>Course</w:t>
      </w:r>
    </w:p>
    <w:p w14:paraId="070A052F" w14:textId="3A3786CA" w:rsidR="0053085C" w:rsidRPr="0053085C" w:rsidRDefault="0053085C" w:rsidP="0053085C">
      <w:pPr>
        <w:ind w:firstLine="0"/>
        <w:jc w:val="center"/>
      </w:pPr>
      <w:r>
        <w:t>Date</w:t>
      </w:r>
    </w:p>
    <w:p w14:paraId="238C181A" w14:textId="7F3AB5D7" w:rsidR="0053085C" w:rsidRDefault="0053085C" w:rsidP="0053085C">
      <w:pPr>
        <w:jc w:val="center"/>
        <w:rPr>
          <w:b/>
          <w:bCs/>
        </w:rPr>
      </w:pPr>
    </w:p>
    <w:p w14:paraId="0A5EFDBB" w14:textId="77777777" w:rsidR="0053085C" w:rsidRDefault="0053085C" w:rsidP="0053085C">
      <w:pPr>
        <w:jc w:val="center"/>
        <w:rPr>
          <w:b/>
          <w:bCs/>
        </w:rPr>
      </w:pPr>
    </w:p>
    <w:p w14:paraId="256FE00E" w14:textId="77777777" w:rsidR="0053085C" w:rsidRDefault="0053085C" w:rsidP="0053085C">
      <w:pPr>
        <w:jc w:val="center"/>
        <w:rPr>
          <w:b/>
          <w:bCs/>
        </w:rPr>
      </w:pPr>
    </w:p>
    <w:p w14:paraId="42069F32" w14:textId="77777777" w:rsidR="0053085C" w:rsidRDefault="0053085C" w:rsidP="0053085C">
      <w:pPr>
        <w:jc w:val="center"/>
        <w:rPr>
          <w:b/>
          <w:bCs/>
        </w:rPr>
      </w:pPr>
    </w:p>
    <w:p w14:paraId="529DE0F5" w14:textId="77777777" w:rsidR="0053085C" w:rsidRDefault="0053085C" w:rsidP="0053085C">
      <w:pPr>
        <w:jc w:val="center"/>
        <w:rPr>
          <w:b/>
          <w:bCs/>
        </w:rPr>
      </w:pPr>
    </w:p>
    <w:p w14:paraId="638A4426" w14:textId="77777777" w:rsidR="0053085C" w:rsidRDefault="0053085C" w:rsidP="0053085C">
      <w:pPr>
        <w:jc w:val="center"/>
        <w:rPr>
          <w:b/>
          <w:bCs/>
        </w:rPr>
      </w:pPr>
    </w:p>
    <w:p w14:paraId="2B1BF989" w14:textId="77777777" w:rsidR="0053085C" w:rsidRDefault="0053085C" w:rsidP="0053085C">
      <w:pPr>
        <w:jc w:val="center"/>
        <w:rPr>
          <w:b/>
          <w:bCs/>
        </w:rPr>
      </w:pPr>
    </w:p>
    <w:p w14:paraId="5B9E7C34" w14:textId="77777777" w:rsidR="0053085C" w:rsidRDefault="0053085C" w:rsidP="0053085C">
      <w:pPr>
        <w:ind w:firstLine="0"/>
        <w:rPr>
          <w:b/>
          <w:bCs/>
        </w:rPr>
      </w:pPr>
    </w:p>
    <w:p w14:paraId="267F9C06" w14:textId="77777777" w:rsidR="00DC5D8C" w:rsidRDefault="00DC5D8C">
      <w:pPr>
        <w:rPr>
          <w:b/>
          <w:bCs/>
        </w:rPr>
      </w:pPr>
      <w:r>
        <w:rPr>
          <w:b/>
          <w:bCs/>
        </w:rPr>
        <w:br w:type="page"/>
      </w:r>
    </w:p>
    <w:p w14:paraId="77BAED15" w14:textId="621DA63F" w:rsidR="0053085C" w:rsidRPr="0053085C" w:rsidRDefault="0053085C" w:rsidP="0053085C">
      <w:pPr>
        <w:jc w:val="center"/>
        <w:rPr>
          <w:b/>
          <w:bCs/>
        </w:rPr>
      </w:pPr>
      <w:r>
        <w:rPr>
          <w:b/>
          <w:bCs/>
        </w:rPr>
        <w:lastRenderedPageBreak/>
        <w:t>Production Leveling</w:t>
      </w:r>
    </w:p>
    <w:p w14:paraId="081F3969" w14:textId="6C726295" w:rsidR="00E531CF" w:rsidRDefault="00E531CF" w:rsidP="00E531CF">
      <w:r>
        <w:t>Production leveling is a section of the lean methodology of procedure enhancement that assists institutions to match up unforeseeable customer demand models and remove manufacturing waste by leveling the quantity and type of production output over a certain time. It could be simpler to understand the concept of production levelling and how it can be used to improve production processes by comparing it to the traditional method of production, known as batching.</w:t>
      </w:r>
      <w:r w:rsidR="00897C22">
        <w:t xml:space="preserve"> P</w:t>
      </w:r>
      <w:r>
        <w:t xml:space="preserve">roduction </w:t>
      </w:r>
      <w:r w:rsidR="00897C22">
        <w:t>leveling</w:t>
      </w:r>
      <w:r>
        <w:t xml:space="preserve"> helps evade the incompetenc</w:t>
      </w:r>
      <w:r w:rsidR="0053085C">
        <w:t>e</w:t>
      </w:r>
      <w:r>
        <w:t xml:space="preserve"> of manufacturing in huge lots by ensuring the production process is closer in line with the customers' demands. </w:t>
      </w:r>
    </w:p>
    <w:p w14:paraId="30EA291E" w14:textId="7F93AE13" w:rsidR="00E531CF" w:rsidRDefault="00E531CF" w:rsidP="00E531CF">
      <w:r>
        <w:t>Production leveling has several advantages on lean processes. First, production levelling provides flexibility to be able to produce the exact product that the customer wants and also meet the customers' deadlines</w:t>
      </w:r>
      <w:r w:rsidR="00897C22">
        <w:t xml:space="preserve"> (Newman, 2019)</w:t>
      </w:r>
      <w:r>
        <w:t>. This ensures that customers get their orders on time which helps organizations create a good relationship with customers. Secondly, production levelling helps organizations that use production levelling reduce the catalogue of goods not sold. Thirdly, organizations are able to balance the use of machines and labor. In addition, production levelling helps bring an expected demand on the upslope procedures and suppliers.</w:t>
      </w:r>
    </w:p>
    <w:p w14:paraId="223831AD" w14:textId="457C2C86" w:rsidR="00E531CF" w:rsidRDefault="00E531CF" w:rsidP="00E531CF">
      <w:r>
        <w:t xml:space="preserve">Production levelling has three characteristics that impact customer demands which are; volume, mix and variation. In levelling by volume, if for a group of commodities that follow similar production processes, a demand ranges between 800-1,200 units, it would be a great proposal to manufacture the ordered quantity. </w:t>
      </w:r>
      <w:r w:rsidR="0053085C">
        <w:t>T</w:t>
      </w:r>
      <w:r>
        <w:t>oyota's approach is that structures of production which differ in the needed return have Muri and Mura, with volume 'forced' in several time intervals</w:t>
      </w:r>
      <w:r w:rsidR="00897C22">
        <w:t xml:space="preserve"> (</w:t>
      </w:r>
      <w:r w:rsidR="00897C22" w:rsidRPr="0053085C">
        <w:rPr>
          <w:rFonts w:cs="Times New Roman"/>
          <w:color w:val="222222"/>
          <w:szCs w:val="24"/>
          <w:shd w:val="clear" w:color="auto" w:fill="FFFFFF"/>
        </w:rPr>
        <w:t>Rybarova</w:t>
      </w:r>
      <w:r w:rsidR="00897C22">
        <w:t>, 2020)</w:t>
      </w:r>
      <w:r>
        <w:t>. Toyota's view is to produce at the durable standard market and also carry a catalogue equivalent to demand flexibility, production process balance and shipments frequency. Therefore, in the 800-1,200 units' case, if shipments happened weekly and the production procedure was 100% dependable, the production would have a minimal average catalogue of 200 during the beginning of the week plus 1,200 at shipment point.</w:t>
      </w:r>
    </w:p>
    <w:p w14:paraId="60D68227" w14:textId="13BD6899" w:rsidR="00E531CF" w:rsidRDefault="00E531CF" w:rsidP="00E531CF">
      <w:r>
        <w:t xml:space="preserve">In levelling by mix, many value streams manufacture a mixture of commodities and, as a result, deal with a sequence and manufacture mix choice.  </w:t>
      </w:r>
      <w:r w:rsidR="0053085C">
        <w:t xml:space="preserve">According to </w:t>
      </w:r>
      <w:r w:rsidR="0053085C" w:rsidRPr="0053085C">
        <w:rPr>
          <w:rFonts w:cs="Times New Roman"/>
          <w:color w:val="222222"/>
          <w:szCs w:val="24"/>
          <w:shd w:val="clear" w:color="auto" w:fill="FFFFFF"/>
        </w:rPr>
        <w:t>Walerud</w:t>
      </w:r>
      <w:r w:rsidR="0053085C">
        <w:t xml:space="preserve"> (2021), t</w:t>
      </w:r>
      <w:r>
        <w:t>his is where economic order amounts discussions happen and have also been intimidated by transition moments and the catalogue needed. Toyota's view led to a contrasting debate where changeover cost plus time were reduced such that lesser batches were not inhibitory and merit costs plus lost time of production were not important. In levelling by variation, prevention of fluctuatio</w:t>
      </w:r>
      <w:r w:rsidR="00897C22">
        <w:t>ns in production is significant (</w:t>
      </w:r>
      <w:r w:rsidR="0053085C" w:rsidRPr="0053085C">
        <w:rPr>
          <w:rFonts w:cs="Times New Roman"/>
          <w:color w:val="222222"/>
          <w:szCs w:val="24"/>
          <w:shd w:val="clear" w:color="auto" w:fill="FFFFFF"/>
        </w:rPr>
        <w:t>Theeke &amp; Hall</w:t>
      </w:r>
      <w:r w:rsidR="00897C22">
        <w:rPr>
          <w:rFonts w:cs="Times New Roman"/>
          <w:color w:val="222222"/>
          <w:szCs w:val="24"/>
          <w:shd w:val="clear" w:color="auto" w:fill="FFFFFF"/>
        </w:rPr>
        <w:t>, 2021).</w:t>
      </w:r>
      <w:r>
        <w:t xml:space="preserve"> </w:t>
      </w:r>
      <w:r w:rsidR="00897C22">
        <w:t>T</w:t>
      </w:r>
      <w:r>
        <w:t>o avoid fluctuations in manufacturing, it is significant to reduce variations in the finishing assembly line. The finishing assembly line at Toyota does not assemble similar automobile designs in a batch. Rather, they perform production levelling by combining a mixture of designs in every batch and reduce them to the smallest size possible.</w:t>
      </w:r>
    </w:p>
    <w:p w14:paraId="4B3BD3B8" w14:textId="2263A9D4" w:rsidR="0053085C" w:rsidRPr="0053085C" w:rsidRDefault="00E531CF" w:rsidP="0053085C">
      <w:r>
        <w:t>A pull system is a process where a workstation begins to process its next order only if a free spot exists on the output sector. There are three types of pull systems. First, there is the continuous flow connection. This type has the top pull level because it incorporates all three factors. Secondly, there is the sequential pull interconnection. In this connection, the fixed measure is calculated, production pattern is defined, although a buffer which has a detailed maximum is permitted in betwixt workstations to absorb variance. Lastly, there is the replenishment pull, also known as the supermarket, where a maximum number of commodities waits to be executed. However, it is not known which commodity type is next on the pull-out list.</w:t>
      </w:r>
    </w:p>
    <w:p w14:paraId="7A078F37" w14:textId="77777777" w:rsidR="0053085C" w:rsidRPr="0053085C" w:rsidRDefault="0053085C" w:rsidP="0053085C">
      <w:pPr>
        <w:ind w:firstLine="0"/>
        <w:rPr>
          <w:b/>
          <w:bCs/>
        </w:rPr>
      </w:pPr>
    </w:p>
    <w:p w14:paraId="0B232D9B" w14:textId="77777777" w:rsidR="00897C22" w:rsidRDefault="00897C22" w:rsidP="0053085C">
      <w:pPr>
        <w:ind w:left="720" w:hanging="720"/>
        <w:jc w:val="center"/>
        <w:rPr>
          <w:rFonts w:cs="Times New Roman"/>
          <w:b/>
          <w:bCs/>
          <w:color w:val="222222"/>
          <w:szCs w:val="24"/>
          <w:shd w:val="clear" w:color="auto" w:fill="FFFFFF"/>
        </w:rPr>
      </w:pPr>
      <w:r>
        <w:rPr>
          <w:rFonts w:cs="Times New Roman"/>
          <w:b/>
          <w:bCs/>
          <w:color w:val="222222"/>
          <w:szCs w:val="24"/>
          <w:shd w:val="clear" w:color="auto" w:fill="FFFFFF"/>
        </w:rPr>
        <w:br w:type="page"/>
      </w:r>
    </w:p>
    <w:p w14:paraId="3F94B704" w14:textId="2BEBAB9B" w:rsidR="0053085C" w:rsidRPr="0053085C" w:rsidRDefault="0053085C" w:rsidP="00DC5D8C">
      <w:pPr>
        <w:ind w:left="720" w:hanging="720"/>
        <w:jc w:val="center"/>
        <w:rPr>
          <w:rFonts w:cs="Times New Roman"/>
          <w:b/>
          <w:bCs/>
          <w:color w:val="222222"/>
          <w:szCs w:val="24"/>
          <w:shd w:val="clear" w:color="auto" w:fill="FFFFFF"/>
        </w:rPr>
      </w:pPr>
      <w:r>
        <w:rPr>
          <w:rFonts w:cs="Times New Roman"/>
          <w:b/>
          <w:bCs/>
          <w:color w:val="222222"/>
          <w:szCs w:val="24"/>
          <w:shd w:val="clear" w:color="auto" w:fill="FFFFFF"/>
        </w:rPr>
        <w:t>References</w:t>
      </w:r>
    </w:p>
    <w:p w14:paraId="55047376" w14:textId="77777777" w:rsidR="00897C22" w:rsidRPr="00897C22" w:rsidRDefault="00897C22" w:rsidP="0053085C">
      <w:pPr>
        <w:ind w:left="720" w:hanging="720"/>
        <w:rPr>
          <w:rFonts w:cs="Times New Roman"/>
          <w:b/>
          <w:bCs/>
          <w:szCs w:val="24"/>
        </w:rPr>
      </w:pPr>
      <w:r w:rsidRPr="00897C22">
        <w:rPr>
          <w:rFonts w:cs="Times New Roman"/>
          <w:szCs w:val="24"/>
          <w:shd w:val="clear" w:color="auto" w:fill="FFFFFF"/>
        </w:rPr>
        <w:t>Newman, A., Cooper, B., Holland, P., Miao, Q., &amp; Teicher, J. (2019). How do industrial relations climate and union instrumentality enhance employee performance? The mediating effects of perceived job security and trust in management. </w:t>
      </w:r>
      <w:r w:rsidRPr="00897C22">
        <w:rPr>
          <w:rFonts w:cs="Times New Roman"/>
          <w:i/>
          <w:iCs/>
          <w:szCs w:val="24"/>
          <w:shd w:val="clear" w:color="auto" w:fill="FFFFFF"/>
        </w:rPr>
        <w:t>Human resource management</w:t>
      </w:r>
      <w:r w:rsidRPr="00897C22">
        <w:rPr>
          <w:rFonts w:cs="Times New Roman"/>
          <w:szCs w:val="24"/>
          <w:shd w:val="clear" w:color="auto" w:fill="FFFFFF"/>
        </w:rPr>
        <w:t>, </w:t>
      </w:r>
      <w:r w:rsidRPr="00897C22">
        <w:rPr>
          <w:rFonts w:cs="Times New Roman"/>
          <w:i/>
          <w:iCs/>
          <w:szCs w:val="24"/>
          <w:shd w:val="clear" w:color="auto" w:fill="FFFFFF"/>
        </w:rPr>
        <w:t>58</w:t>
      </w:r>
      <w:r w:rsidRPr="00897C22">
        <w:rPr>
          <w:rFonts w:cs="Times New Roman"/>
          <w:szCs w:val="24"/>
          <w:shd w:val="clear" w:color="auto" w:fill="FFFFFF"/>
        </w:rPr>
        <w:t>(1), 35-44.</w:t>
      </w:r>
    </w:p>
    <w:p w14:paraId="26CE6882" w14:textId="77777777" w:rsidR="00897C22" w:rsidRPr="00897C22" w:rsidRDefault="00897C22" w:rsidP="0053085C">
      <w:pPr>
        <w:ind w:left="720" w:hanging="720"/>
        <w:rPr>
          <w:rFonts w:cs="Times New Roman"/>
          <w:szCs w:val="24"/>
          <w:shd w:val="clear" w:color="auto" w:fill="FFFFFF"/>
        </w:rPr>
      </w:pPr>
      <w:r w:rsidRPr="00897C22">
        <w:rPr>
          <w:rFonts w:cs="Times New Roman"/>
          <w:szCs w:val="24"/>
          <w:shd w:val="clear" w:color="auto" w:fill="FFFFFF"/>
        </w:rPr>
        <w:t>Rybarova, D. (2020). Creative industry as a key creative component of the Slovak economy. In </w:t>
      </w:r>
      <w:r w:rsidRPr="00897C22">
        <w:rPr>
          <w:rFonts w:cs="Times New Roman"/>
          <w:i/>
          <w:iCs/>
          <w:szCs w:val="24"/>
          <w:shd w:val="clear" w:color="auto" w:fill="FFFFFF"/>
        </w:rPr>
        <w:t>SHS Web of Conferences</w:t>
      </w:r>
      <w:r w:rsidRPr="00897C22">
        <w:rPr>
          <w:rFonts w:cs="Times New Roman"/>
          <w:szCs w:val="24"/>
          <w:shd w:val="clear" w:color="auto" w:fill="FFFFFF"/>
        </w:rPr>
        <w:t> (Vol. 74, p. 03009). EDP Sciences.</w:t>
      </w:r>
    </w:p>
    <w:p w14:paraId="578C199E" w14:textId="77777777" w:rsidR="00897C22" w:rsidRPr="00897C22" w:rsidRDefault="00897C22" w:rsidP="0053085C">
      <w:pPr>
        <w:ind w:left="720" w:hanging="720"/>
        <w:rPr>
          <w:rFonts w:cs="Arial"/>
          <w:szCs w:val="20"/>
          <w:shd w:val="clear" w:color="auto" w:fill="FFFFFF"/>
        </w:rPr>
      </w:pPr>
      <w:r w:rsidRPr="00897C22">
        <w:rPr>
          <w:rFonts w:cs="Times New Roman"/>
          <w:szCs w:val="24"/>
          <w:shd w:val="clear" w:color="auto" w:fill="FFFFFF"/>
        </w:rPr>
        <w:t>Theeke, M., &amp; Hall, M. I. (2021). Cocurricular Learning in Management Education: Lessons From Legal Education’s Use of Student-Edited Journals. </w:t>
      </w:r>
      <w:r w:rsidRPr="00897C22">
        <w:rPr>
          <w:rFonts w:cs="Times New Roman"/>
          <w:i/>
          <w:iCs/>
          <w:szCs w:val="24"/>
          <w:shd w:val="clear" w:color="auto" w:fill="FFFFFF"/>
        </w:rPr>
        <w:t>Journal of M</w:t>
      </w:r>
      <w:bookmarkStart w:id="0" w:name="_GoBack"/>
      <w:bookmarkEnd w:id="0"/>
      <w:r w:rsidRPr="00897C22">
        <w:rPr>
          <w:rFonts w:cs="Times New Roman"/>
          <w:i/>
          <w:iCs/>
          <w:szCs w:val="24"/>
          <w:shd w:val="clear" w:color="auto" w:fill="FFFFFF"/>
        </w:rPr>
        <w:t>anagement Education</w:t>
      </w:r>
      <w:r w:rsidRPr="00897C22">
        <w:rPr>
          <w:rFonts w:cs="Times New Roman"/>
          <w:szCs w:val="24"/>
          <w:shd w:val="clear" w:color="auto" w:fill="FFFFFF"/>
        </w:rPr>
        <w:t>, 10525629211014240</w:t>
      </w:r>
      <w:r w:rsidRPr="00897C22">
        <w:rPr>
          <w:rFonts w:cs="Arial"/>
          <w:szCs w:val="20"/>
          <w:shd w:val="clear" w:color="auto" w:fill="FFFFFF"/>
        </w:rPr>
        <w:t>.</w:t>
      </w:r>
    </w:p>
    <w:p w14:paraId="34BFACCC" w14:textId="77777777" w:rsidR="00897C22" w:rsidRPr="00897C22" w:rsidRDefault="00897C22" w:rsidP="0053085C">
      <w:pPr>
        <w:ind w:left="720" w:hanging="720"/>
        <w:rPr>
          <w:rFonts w:cs="Times New Roman"/>
          <w:szCs w:val="24"/>
          <w:shd w:val="clear" w:color="auto" w:fill="FFFFFF"/>
        </w:rPr>
      </w:pPr>
      <w:r w:rsidRPr="00897C22">
        <w:rPr>
          <w:rFonts w:cs="Times New Roman"/>
          <w:szCs w:val="24"/>
          <w:shd w:val="clear" w:color="auto" w:fill="FFFFFF"/>
        </w:rPr>
        <w:t>Walerud, B. (2021). Is the University Key to Digital Development?: A study of the role of KTH in the digital development of the Swedish news media industry between 1990 to 2005.</w:t>
      </w:r>
    </w:p>
    <w:sectPr w:rsidR="00897C22" w:rsidRPr="00897C22" w:rsidSect="0053085C">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9A1155" w14:textId="77777777" w:rsidR="00A45295" w:rsidRDefault="00A45295" w:rsidP="0053085C">
      <w:pPr>
        <w:spacing w:line="240" w:lineRule="auto"/>
      </w:pPr>
      <w:r>
        <w:separator/>
      </w:r>
    </w:p>
  </w:endnote>
  <w:endnote w:type="continuationSeparator" w:id="0">
    <w:p w14:paraId="1EF7ECA9" w14:textId="77777777" w:rsidR="00A45295" w:rsidRDefault="00A45295" w:rsidP="005308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841D0A" w14:textId="77777777" w:rsidR="00A45295" w:rsidRDefault="00A45295" w:rsidP="0053085C">
      <w:pPr>
        <w:spacing w:line="240" w:lineRule="auto"/>
      </w:pPr>
      <w:r>
        <w:separator/>
      </w:r>
    </w:p>
  </w:footnote>
  <w:footnote w:type="continuationSeparator" w:id="0">
    <w:p w14:paraId="764CA3FC" w14:textId="77777777" w:rsidR="00A45295" w:rsidRDefault="00A45295" w:rsidP="0053085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2809084"/>
      <w:docPartObj>
        <w:docPartGallery w:val="Page Numbers (Top of Page)"/>
        <w:docPartUnique/>
      </w:docPartObj>
    </w:sdtPr>
    <w:sdtEndPr>
      <w:rPr>
        <w:noProof/>
      </w:rPr>
    </w:sdtEndPr>
    <w:sdtContent>
      <w:p w14:paraId="79937709" w14:textId="12F8C232" w:rsidR="0053085C" w:rsidRDefault="0053085C" w:rsidP="0053085C">
        <w:pPr>
          <w:pStyle w:val="Header"/>
          <w:ind w:firstLine="0"/>
        </w:pPr>
        <w:r>
          <w:t>PRODUCTION LEVELING</w:t>
        </w:r>
        <w:r>
          <w:tab/>
        </w:r>
        <w:r>
          <w:tab/>
        </w:r>
        <w:r>
          <w:fldChar w:fldCharType="begin"/>
        </w:r>
        <w:r>
          <w:instrText xml:space="preserve"> PAGE   \* MERGEFORMAT </w:instrText>
        </w:r>
        <w:r>
          <w:fldChar w:fldCharType="separate"/>
        </w:r>
        <w:r w:rsidR="00DC5D8C">
          <w:rPr>
            <w:noProof/>
          </w:rPr>
          <w:t>4</w:t>
        </w:r>
        <w:r>
          <w:rPr>
            <w:noProof/>
          </w:rPr>
          <w:fldChar w:fldCharType="end"/>
        </w:r>
      </w:p>
    </w:sdtContent>
  </w:sdt>
  <w:p w14:paraId="465FFEA5" w14:textId="77777777" w:rsidR="0053085C" w:rsidRDefault="0053085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707324"/>
      <w:docPartObj>
        <w:docPartGallery w:val="Page Numbers (Top of Page)"/>
        <w:docPartUnique/>
      </w:docPartObj>
    </w:sdtPr>
    <w:sdtEndPr>
      <w:rPr>
        <w:noProof/>
      </w:rPr>
    </w:sdtEndPr>
    <w:sdtContent>
      <w:p w14:paraId="6A3AF669" w14:textId="2468E010" w:rsidR="0053085C" w:rsidRDefault="0053085C" w:rsidP="0053085C">
        <w:pPr>
          <w:pStyle w:val="Header"/>
          <w:ind w:firstLine="0"/>
        </w:pPr>
        <w:r>
          <w:t>Running Head: PRODUCTION LEVELING</w:t>
        </w:r>
        <w:r>
          <w:tab/>
        </w:r>
        <w:r>
          <w:tab/>
        </w:r>
        <w:r>
          <w:fldChar w:fldCharType="begin"/>
        </w:r>
        <w:r>
          <w:instrText xml:space="preserve"> PAGE   \* MERGEFORMAT </w:instrText>
        </w:r>
        <w:r>
          <w:fldChar w:fldCharType="separate"/>
        </w:r>
        <w:r w:rsidR="00A45295">
          <w:rPr>
            <w:noProof/>
          </w:rPr>
          <w:t>1</w:t>
        </w:r>
        <w:r>
          <w:rPr>
            <w:noProof/>
          </w:rPr>
          <w:fldChar w:fldCharType="end"/>
        </w:r>
      </w:p>
    </w:sdtContent>
  </w:sdt>
  <w:p w14:paraId="63D692FB" w14:textId="77777777" w:rsidR="0053085C" w:rsidRDefault="0053085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A99"/>
    <w:rsid w:val="00055430"/>
    <w:rsid w:val="00190042"/>
    <w:rsid w:val="002B3839"/>
    <w:rsid w:val="002C00B9"/>
    <w:rsid w:val="00300201"/>
    <w:rsid w:val="0053085C"/>
    <w:rsid w:val="006059F4"/>
    <w:rsid w:val="00726698"/>
    <w:rsid w:val="00780A99"/>
    <w:rsid w:val="00897C22"/>
    <w:rsid w:val="009B160B"/>
    <w:rsid w:val="009E0028"/>
    <w:rsid w:val="00A45295"/>
    <w:rsid w:val="00A84B73"/>
    <w:rsid w:val="00C5686F"/>
    <w:rsid w:val="00CD1BA4"/>
    <w:rsid w:val="00CE4E01"/>
    <w:rsid w:val="00DC5D8C"/>
    <w:rsid w:val="00E31952"/>
    <w:rsid w:val="00E531CF"/>
    <w:rsid w:val="00EC0A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63F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line="48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085C"/>
    <w:pPr>
      <w:tabs>
        <w:tab w:val="center" w:pos="4680"/>
        <w:tab w:val="right" w:pos="9360"/>
      </w:tabs>
      <w:spacing w:line="240" w:lineRule="auto"/>
    </w:pPr>
  </w:style>
  <w:style w:type="character" w:customStyle="1" w:styleId="HeaderChar">
    <w:name w:val="Header Char"/>
    <w:basedOn w:val="DefaultParagraphFont"/>
    <w:link w:val="Header"/>
    <w:uiPriority w:val="99"/>
    <w:rsid w:val="0053085C"/>
  </w:style>
  <w:style w:type="paragraph" w:styleId="Footer">
    <w:name w:val="footer"/>
    <w:basedOn w:val="Normal"/>
    <w:link w:val="FooterChar"/>
    <w:uiPriority w:val="99"/>
    <w:unhideWhenUsed/>
    <w:rsid w:val="0053085C"/>
    <w:pPr>
      <w:tabs>
        <w:tab w:val="center" w:pos="4680"/>
        <w:tab w:val="right" w:pos="9360"/>
      </w:tabs>
      <w:spacing w:line="240" w:lineRule="auto"/>
    </w:pPr>
  </w:style>
  <w:style w:type="character" w:customStyle="1" w:styleId="FooterChar">
    <w:name w:val="Footer Char"/>
    <w:basedOn w:val="DefaultParagraphFont"/>
    <w:link w:val="Footer"/>
    <w:uiPriority w:val="99"/>
    <w:rsid w:val="005308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line="48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085C"/>
    <w:pPr>
      <w:tabs>
        <w:tab w:val="center" w:pos="4680"/>
        <w:tab w:val="right" w:pos="9360"/>
      </w:tabs>
      <w:spacing w:line="240" w:lineRule="auto"/>
    </w:pPr>
  </w:style>
  <w:style w:type="character" w:customStyle="1" w:styleId="HeaderChar">
    <w:name w:val="Header Char"/>
    <w:basedOn w:val="DefaultParagraphFont"/>
    <w:link w:val="Header"/>
    <w:uiPriority w:val="99"/>
    <w:rsid w:val="0053085C"/>
  </w:style>
  <w:style w:type="paragraph" w:styleId="Footer">
    <w:name w:val="footer"/>
    <w:basedOn w:val="Normal"/>
    <w:link w:val="FooterChar"/>
    <w:uiPriority w:val="99"/>
    <w:unhideWhenUsed/>
    <w:rsid w:val="0053085C"/>
    <w:pPr>
      <w:tabs>
        <w:tab w:val="center" w:pos="4680"/>
        <w:tab w:val="right" w:pos="9360"/>
      </w:tabs>
      <w:spacing w:line="240" w:lineRule="auto"/>
    </w:pPr>
  </w:style>
  <w:style w:type="character" w:customStyle="1" w:styleId="FooterChar">
    <w:name w:val="Footer Char"/>
    <w:basedOn w:val="DefaultParagraphFont"/>
    <w:link w:val="Footer"/>
    <w:uiPriority w:val="99"/>
    <w:rsid w:val="005308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713</Words>
  <Characters>4067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cp:lastModifiedBy>
  <cp:revision>2</cp:revision>
  <dcterms:created xsi:type="dcterms:W3CDTF">2021-09-05T07:00:00Z</dcterms:created>
  <dcterms:modified xsi:type="dcterms:W3CDTF">2021-09-05T07:00:00Z</dcterms:modified>
</cp:coreProperties>
</file>