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D7547" w:rsidRPr="002B31C6" w:rsidRDefault="009B67B9" w:rsidP="004C2359">
      <w:pPr>
        <w:jc w:val="center"/>
        <w:rPr>
          <w:rFonts w:cs="Times New Roman"/>
          <w:b/>
          <w:szCs w:val="24"/>
        </w:rPr>
      </w:pPr>
      <w:r w:rsidRPr="002B31C6">
        <w:rPr>
          <w:rFonts w:cs="Times New Roman"/>
          <w:b/>
          <w:szCs w:val="24"/>
        </w:rPr>
        <w:t>Proteins</w:t>
      </w:r>
    </w:p>
    <w:p w:rsidR="004C2359" w:rsidRPr="002B31C6" w:rsidRDefault="004C2359" w:rsidP="004C2359">
      <w:pPr>
        <w:jc w:val="center"/>
        <w:rPr>
          <w:rFonts w:cs="Times New Roman"/>
          <w:szCs w:val="24"/>
        </w:rPr>
      </w:pPr>
    </w:p>
    <w:p w:rsidR="004C2359" w:rsidRPr="002B31C6" w:rsidRDefault="004C2359" w:rsidP="004C2359">
      <w:pPr>
        <w:jc w:val="center"/>
        <w:rPr>
          <w:rFonts w:cs="Times New Roman"/>
          <w:szCs w:val="24"/>
        </w:rPr>
      </w:pPr>
    </w:p>
    <w:p w:rsidR="004C2359" w:rsidRPr="002B31C6" w:rsidRDefault="009B67B9" w:rsidP="004C2359">
      <w:pPr>
        <w:jc w:val="center"/>
        <w:rPr>
          <w:rFonts w:cs="Times New Roman"/>
          <w:szCs w:val="24"/>
        </w:rPr>
      </w:pPr>
      <w:r w:rsidRPr="002B31C6">
        <w:rPr>
          <w:rFonts w:cs="Times New Roman"/>
          <w:szCs w:val="24"/>
        </w:rPr>
        <w:t xml:space="preserve">Name </w:t>
      </w:r>
    </w:p>
    <w:p w:rsidR="004C2359" w:rsidRPr="002B31C6" w:rsidRDefault="009B67B9" w:rsidP="004C2359">
      <w:pPr>
        <w:jc w:val="center"/>
        <w:rPr>
          <w:rFonts w:cs="Times New Roman"/>
          <w:szCs w:val="24"/>
        </w:rPr>
      </w:pPr>
      <w:r w:rsidRPr="002B31C6">
        <w:rPr>
          <w:rFonts w:cs="Times New Roman"/>
          <w:szCs w:val="24"/>
        </w:rPr>
        <w:t>Affiliation</w:t>
      </w:r>
    </w:p>
    <w:p w:rsidR="004C2359" w:rsidRPr="002B31C6" w:rsidRDefault="009B67B9" w:rsidP="004C2359">
      <w:pPr>
        <w:jc w:val="center"/>
        <w:rPr>
          <w:rFonts w:cs="Times New Roman"/>
          <w:szCs w:val="24"/>
        </w:rPr>
      </w:pPr>
      <w:r w:rsidRPr="002B31C6">
        <w:rPr>
          <w:rFonts w:cs="Times New Roman"/>
          <w:szCs w:val="24"/>
        </w:rPr>
        <w:t>Date</w:t>
      </w:r>
    </w:p>
    <w:p w:rsidR="004C2359" w:rsidRPr="002B31C6" w:rsidRDefault="004C2359" w:rsidP="004C2359">
      <w:pPr>
        <w:jc w:val="center"/>
        <w:rPr>
          <w:rFonts w:cs="Times New Roman"/>
          <w:szCs w:val="24"/>
        </w:rPr>
      </w:pPr>
    </w:p>
    <w:p w:rsidR="004C2359" w:rsidRPr="002B31C6" w:rsidRDefault="004C2359" w:rsidP="004C2359">
      <w:pPr>
        <w:jc w:val="center"/>
        <w:rPr>
          <w:rFonts w:cs="Times New Roman"/>
          <w:szCs w:val="24"/>
        </w:rPr>
      </w:pPr>
    </w:p>
    <w:p w:rsidR="004C2359" w:rsidRPr="002B31C6" w:rsidRDefault="004C2359" w:rsidP="004C2359">
      <w:pPr>
        <w:jc w:val="center"/>
        <w:rPr>
          <w:rFonts w:cs="Times New Roman"/>
          <w:szCs w:val="24"/>
        </w:rPr>
      </w:pPr>
    </w:p>
    <w:p w:rsidR="004C2359" w:rsidRPr="002B31C6" w:rsidRDefault="004C2359" w:rsidP="004C2359">
      <w:pPr>
        <w:jc w:val="center"/>
        <w:rPr>
          <w:rFonts w:cs="Times New Roman"/>
          <w:szCs w:val="24"/>
        </w:rPr>
      </w:pPr>
    </w:p>
    <w:p w:rsidR="004C2359" w:rsidRPr="002B31C6" w:rsidRDefault="004C2359" w:rsidP="004C2359">
      <w:pPr>
        <w:jc w:val="center"/>
        <w:rPr>
          <w:rFonts w:cs="Times New Roman"/>
          <w:szCs w:val="24"/>
        </w:rPr>
      </w:pPr>
    </w:p>
    <w:p w:rsidR="004C2359" w:rsidRPr="002B31C6" w:rsidRDefault="004C2359" w:rsidP="004C2359">
      <w:pPr>
        <w:jc w:val="center"/>
        <w:rPr>
          <w:rFonts w:cs="Times New Roman"/>
          <w:szCs w:val="24"/>
        </w:rPr>
      </w:pPr>
    </w:p>
    <w:p w:rsidR="004C2359" w:rsidRPr="002B31C6" w:rsidRDefault="004C2359" w:rsidP="004C2359">
      <w:pPr>
        <w:jc w:val="center"/>
        <w:rPr>
          <w:rFonts w:cs="Times New Roman"/>
          <w:szCs w:val="24"/>
        </w:rPr>
      </w:pPr>
    </w:p>
    <w:p w:rsidR="004C2359" w:rsidRPr="002B31C6" w:rsidRDefault="004C2359" w:rsidP="004C2359">
      <w:pPr>
        <w:jc w:val="center"/>
        <w:rPr>
          <w:rFonts w:cs="Times New Roman"/>
          <w:szCs w:val="24"/>
        </w:rPr>
      </w:pPr>
    </w:p>
    <w:p w:rsidR="004C2359" w:rsidRPr="002B31C6" w:rsidRDefault="004C2359" w:rsidP="004C2359">
      <w:pPr>
        <w:jc w:val="center"/>
        <w:rPr>
          <w:rFonts w:cs="Times New Roman"/>
          <w:szCs w:val="24"/>
        </w:rPr>
      </w:pPr>
    </w:p>
    <w:p w:rsidR="004C2359" w:rsidRPr="002B31C6" w:rsidRDefault="004C2359" w:rsidP="004C2359">
      <w:pPr>
        <w:jc w:val="center"/>
        <w:rPr>
          <w:rFonts w:cs="Times New Roman"/>
          <w:szCs w:val="24"/>
        </w:rPr>
      </w:pPr>
    </w:p>
    <w:p w:rsidR="004C2359" w:rsidRPr="002B31C6" w:rsidRDefault="004C2359" w:rsidP="004C2359">
      <w:pPr>
        <w:jc w:val="center"/>
        <w:rPr>
          <w:rFonts w:cs="Times New Roman"/>
          <w:szCs w:val="24"/>
        </w:rPr>
      </w:pPr>
    </w:p>
    <w:p w:rsidR="004C2359" w:rsidRPr="002B31C6" w:rsidRDefault="004C2359" w:rsidP="004C2359">
      <w:pPr>
        <w:jc w:val="center"/>
        <w:rPr>
          <w:rFonts w:cs="Times New Roman"/>
          <w:szCs w:val="24"/>
        </w:rPr>
      </w:pPr>
    </w:p>
    <w:p w:rsidR="004C2359" w:rsidRPr="002B31C6" w:rsidRDefault="009B67B9" w:rsidP="004C2359">
      <w:pPr>
        <w:jc w:val="center"/>
        <w:rPr>
          <w:rFonts w:cs="Times New Roman"/>
          <w:b/>
          <w:szCs w:val="24"/>
        </w:rPr>
      </w:pPr>
      <w:r w:rsidRPr="002B31C6">
        <w:rPr>
          <w:rFonts w:cs="Times New Roman"/>
          <w:b/>
          <w:szCs w:val="24"/>
        </w:rPr>
        <w:t>Proteins</w:t>
      </w:r>
    </w:p>
    <w:p w:rsidR="004C2359" w:rsidRPr="002B31C6" w:rsidRDefault="009B67B9" w:rsidP="004C2359">
      <w:pPr>
        <w:rPr>
          <w:rFonts w:cs="Times New Roman"/>
          <w:b/>
          <w:szCs w:val="24"/>
        </w:rPr>
      </w:pPr>
      <w:r w:rsidRPr="002B31C6">
        <w:rPr>
          <w:rFonts w:cs="Times New Roman"/>
          <w:b/>
          <w:szCs w:val="24"/>
        </w:rPr>
        <w:t>Question One</w:t>
      </w:r>
    </w:p>
    <w:p w:rsidR="004C2359" w:rsidRPr="002B31C6" w:rsidRDefault="009B67B9" w:rsidP="004C2359">
      <w:pPr>
        <w:rPr>
          <w:rFonts w:cs="Times New Roman"/>
          <w:szCs w:val="24"/>
        </w:rPr>
      </w:pPr>
      <w:r w:rsidRPr="002B31C6">
        <w:rPr>
          <w:rFonts w:cs="Times New Roman"/>
          <w:b/>
          <w:szCs w:val="24"/>
        </w:rPr>
        <w:tab/>
      </w:r>
      <w:r w:rsidR="00D76A25" w:rsidRPr="002B31C6">
        <w:rPr>
          <w:rFonts w:cs="Times New Roman"/>
          <w:szCs w:val="24"/>
        </w:rPr>
        <w:t>Page</w:t>
      </w:r>
      <w:r w:rsidRPr="002B31C6">
        <w:rPr>
          <w:rFonts w:cs="Times New Roman"/>
          <w:szCs w:val="24"/>
        </w:rPr>
        <w:t xml:space="preserve"> 220 indicates that the recommended </w:t>
      </w:r>
      <w:r w:rsidR="00D76A25" w:rsidRPr="002B31C6">
        <w:rPr>
          <w:rFonts w:cs="Times New Roman"/>
          <w:szCs w:val="24"/>
        </w:rPr>
        <w:t>protein range</w:t>
      </w:r>
      <w:r w:rsidRPr="002B31C6">
        <w:rPr>
          <w:rFonts w:cs="Times New Roman"/>
          <w:szCs w:val="24"/>
        </w:rPr>
        <w:t xml:space="preserve"> for an adult is 0.8g per day. As par this </w:t>
      </w:r>
      <w:r w:rsidR="00D76A25" w:rsidRPr="002B31C6">
        <w:rPr>
          <w:rFonts w:cs="Times New Roman"/>
          <w:szCs w:val="24"/>
        </w:rPr>
        <w:t>question, the</w:t>
      </w:r>
      <w:r w:rsidRPr="002B31C6">
        <w:rPr>
          <w:rFonts w:cs="Times New Roman"/>
          <w:szCs w:val="24"/>
        </w:rPr>
        <w:t xml:space="preserve"> calculations will be based on </w:t>
      </w:r>
      <w:r w:rsidR="00D76A25" w:rsidRPr="002B31C6">
        <w:rPr>
          <w:rFonts w:cs="Times New Roman"/>
          <w:szCs w:val="24"/>
        </w:rPr>
        <w:t>Rock as an adult.</w:t>
      </w:r>
    </w:p>
    <w:p w:rsidR="00D76A25" w:rsidRPr="002B31C6" w:rsidRDefault="009B67B9" w:rsidP="004C2359">
      <w:pPr>
        <w:rPr>
          <w:rFonts w:cs="Times New Roman"/>
          <w:szCs w:val="24"/>
        </w:rPr>
      </w:pPr>
      <w:r w:rsidRPr="002B31C6">
        <w:rPr>
          <w:rFonts w:cs="Times New Roman"/>
          <w:szCs w:val="24"/>
        </w:rPr>
        <w:t>Bodyweight is 121kgs</w:t>
      </w:r>
    </w:p>
    <w:p w:rsidR="00D76A25" w:rsidRPr="002B31C6" w:rsidRDefault="009B67B9" w:rsidP="004C2359">
      <w:pPr>
        <w:rPr>
          <w:rFonts w:cs="Times New Roman"/>
          <w:szCs w:val="24"/>
        </w:rPr>
      </w:pPr>
      <w:r w:rsidRPr="002B31C6">
        <w:rPr>
          <w:rFonts w:cs="Times New Roman"/>
          <w:szCs w:val="24"/>
        </w:rPr>
        <w:t>0.8g ×121=96.8g per day is the daily recommendation for the individual.</w:t>
      </w:r>
    </w:p>
    <w:p w:rsidR="00D76A25" w:rsidRPr="002B31C6" w:rsidRDefault="009B67B9" w:rsidP="004C2359">
      <w:pPr>
        <w:rPr>
          <w:rFonts w:cs="Times New Roman"/>
          <w:b/>
          <w:szCs w:val="24"/>
        </w:rPr>
      </w:pPr>
      <w:r w:rsidRPr="002B31C6">
        <w:rPr>
          <w:rFonts w:cs="Times New Roman"/>
          <w:b/>
          <w:szCs w:val="24"/>
        </w:rPr>
        <w:t>Question Two</w:t>
      </w:r>
    </w:p>
    <w:p w:rsidR="00D76A25" w:rsidRPr="002B31C6" w:rsidRDefault="009B67B9" w:rsidP="004C2359">
      <w:pPr>
        <w:rPr>
          <w:rFonts w:cs="Times New Roman"/>
          <w:szCs w:val="24"/>
        </w:rPr>
      </w:pPr>
      <w:r w:rsidRPr="002B31C6">
        <w:rPr>
          <w:rFonts w:cs="Times New Roman"/>
          <w:szCs w:val="24"/>
        </w:rPr>
        <w:t>Athletes need more than the RDA.depending on the nature of the activity, whether lifting weights, running sprints, or swimming long distances, sportspersons expend</w:t>
      </w:r>
      <w:r w:rsidR="00436ED7" w:rsidRPr="002B31C6">
        <w:rPr>
          <w:rFonts w:cs="Times New Roman"/>
          <w:szCs w:val="24"/>
        </w:rPr>
        <w:t xml:space="preserve"> massive energy than an average individual since their blood needs supplementary nutrients to recover from intense physical </w:t>
      </w:r>
      <w:r w:rsidRPr="002B31C6">
        <w:rPr>
          <w:rFonts w:cs="Times New Roman"/>
          <w:szCs w:val="24"/>
        </w:rPr>
        <w:t>exercises. Besides</w:t>
      </w:r>
      <w:r w:rsidR="00436ED7" w:rsidRPr="002B31C6">
        <w:rPr>
          <w:rFonts w:cs="Times New Roman"/>
          <w:szCs w:val="24"/>
        </w:rPr>
        <w:t xml:space="preserve">, proteins play a crucial role in an athlete's eating plan since they </w:t>
      </w:r>
      <w:r w:rsidRPr="002B31C6">
        <w:rPr>
          <w:rFonts w:cs="Times New Roman"/>
          <w:szCs w:val="24"/>
        </w:rPr>
        <w:t>strengthen and</w:t>
      </w:r>
      <w:r w:rsidR="00436ED7" w:rsidRPr="002B31C6">
        <w:rPr>
          <w:rFonts w:cs="Times New Roman"/>
          <w:szCs w:val="24"/>
        </w:rPr>
        <w:t xml:space="preserve"> repair muscle </w:t>
      </w:r>
      <w:r w:rsidRPr="002B31C6">
        <w:rPr>
          <w:rFonts w:cs="Times New Roman"/>
          <w:szCs w:val="24"/>
        </w:rPr>
        <w:t>tissue. Also</w:t>
      </w:r>
      <w:r w:rsidR="00436ED7" w:rsidRPr="002B31C6">
        <w:rPr>
          <w:rFonts w:cs="Times New Roman"/>
          <w:szCs w:val="24"/>
        </w:rPr>
        <w:t xml:space="preserve">, high protein is prevalent among learners, specifically those undertaking a more defined </w:t>
      </w:r>
      <w:r w:rsidR="002B31C6" w:rsidRPr="002B31C6">
        <w:rPr>
          <w:rFonts w:cs="Times New Roman"/>
          <w:szCs w:val="24"/>
        </w:rPr>
        <w:t>structure</w:t>
      </w:r>
      <w:r w:rsidR="002B31C6" w:rsidRPr="002B31C6">
        <w:rPr>
          <w:rFonts w:cs="Times New Roman"/>
          <w:szCs w:val="24"/>
          <w:shd w:val="clear" w:color="auto" w:fill="FFFFFF"/>
        </w:rPr>
        <w:t xml:space="preserve"> (McClung et al., 2014)</w:t>
      </w:r>
      <w:r w:rsidR="00436ED7" w:rsidRPr="002B31C6">
        <w:rPr>
          <w:rFonts w:cs="Times New Roman"/>
          <w:szCs w:val="24"/>
        </w:rPr>
        <w:t>.</w:t>
      </w:r>
      <w:r w:rsidR="00436ED7" w:rsidRPr="002B31C6">
        <w:rPr>
          <w:rFonts w:eastAsia="Times New Roman" w:cs="Times New Roman"/>
          <w:snapToGrid w:val="0"/>
          <w:w w:val="0"/>
          <w:szCs w:val="24"/>
          <w:u w:color="000000"/>
          <w:bdr w:val="nil"/>
          <w:shd w:val="clear" w:color="000000" w:fill="000000"/>
          <w:lang w:val="x-none" w:eastAsia="x-none" w:bidi="x-none"/>
        </w:rPr>
        <w:t xml:space="preserve"> </w:t>
      </w:r>
      <w:r w:rsidR="00436ED7" w:rsidRPr="002B31C6">
        <w:rPr>
          <w:rFonts w:cs="Times New Roman"/>
          <w:noProof/>
          <w:szCs w:val="24"/>
        </w:rPr>
        <w:drawing>
          <wp:inline distT="0" distB="0" distL="0" distR="0">
            <wp:extent cx="5943486" cy="2438400"/>
            <wp:effectExtent l="0" t="0" r="635" b="0"/>
            <wp:docPr id="1" name="Picture 1" descr="C:\Users\SATELITE\Downloads\female-sprin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891801" name="Picture 1" descr="C:\Users\SATELITE\Downloads\female-sprinter.jpg"/>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5959772" cy="2445082"/>
                    </a:xfrm>
                    <a:prstGeom prst="rect">
                      <a:avLst/>
                    </a:prstGeom>
                    <a:noFill/>
                    <a:ln>
                      <a:noFill/>
                    </a:ln>
                  </pic:spPr>
                </pic:pic>
              </a:graphicData>
            </a:graphic>
          </wp:inline>
        </w:drawing>
      </w:r>
    </w:p>
    <w:p w:rsidR="00096612" w:rsidRPr="002B31C6" w:rsidRDefault="009B67B9" w:rsidP="00096612">
      <w:pPr>
        <w:ind w:firstLine="720"/>
        <w:rPr>
          <w:rFonts w:cs="Times New Roman"/>
          <w:szCs w:val="24"/>
        </w:rPr>
      </w:pPr>
      <w:r w:rsidRPr="002B31C6">
        <w:rPr>
          <w:rFonts w:cs="Times New Roman"/>
          <w:szCs w:val="24"/>
        </w:rPr>
        <w:t xml:space="preserve">Although protein is vital in building the perfect body structure of muscle, an excess of it is not good since many aspects do not associate with an athlete's </w:t>
      </w:r>
      <w:r w:rsidR="00B46591" w:rsidRPr="002B31C6">
        <w:rPr>
          <w:rFonts w:cs="Times New Roman"/>
          <w:szCs w:val="24"/>
        </w:rPr>
        <w:t>body. Besides</w:t>
      </w:r>
      <w:r w:rsidRPr="002B31C6">
        <w:rPr>
          <w:rFonts w:cs="Times New Roman"/>
          <w:szCs w:val="24"/>
        </w:rPr>
        <w:t xml:space="preserve">, athletes who consume enough fat and carbohydrate consume less energy than those that consume excess </w:t>
      </w:r>
      <w:r w:rsidR="00B46591" w:rsidRPr="002B31C6">
        <w:rPr>
          <w:rFonts w:cs="Times New Roman"/>
          <w:szCs w:val="24"/>
        </w:rPr>
        <w:t>protein. Also, protein</w:t>
      </w:r>
      <w:r w:rsidRPr="002B31C6">
        <w:rPr>
          <w:rFonts w:cs="Times New Roman"/>
          <w:szCs w:val="24"/>
        </w:rPr>
        <w:t xml:space="preserve"> can maintain or build body mass; thus, </w:t>
      </w:r>
      <w:r w:rsidR="00B46591" w:rsidRPr="002B31C6">
        <w:rPr>
          <w:rFonts w:cs="Times New Roman"/>
          <w:szCs w:val="24"/>
        </w:rPr>
        <w:t>athletes</w:t>
      </w:r>
      <w:r w:rsidRPr="002B31C6">
        <w:rPr>
          <w:rFonts w:cs="Times New Roman"/>
          <w:szCs w:val="24"/>
        </w:rPr>
        <w:t xml:space="preserve"> should </w:t>
      </w:r>
      <w:r w:rsidR="00B46591" w:rsidRPr="002B31C6">
        <w:rPr>
          <w:rFonts w:cs="Times New Roman"/>
          <w:szCs w:val="24"/>
        </w:rPr>
        <w:t>consider fat</w:t>
      </w:r>
      <w:r w:rsidRPr="002B31C6">
        <w:rPr>
          <w:rFonts w:cs="Times New Roman"/>
          <w:szCs w:val="24"/>
        </w:rPr>
        <w:t xml:space="preserve"> and </w:t>
      </w:r>
      <w:r w:rsidR="00B46591" w:rsidRPr="002B31C6">
        <w:rPr>
          <w:rFonts w:cs="Times New Roman"/>
          <w:szCs w:val="24"/>
        </w:rPr>
        <w:t xml:space="preserve">carbohydrates. A combination of muscle nutrition and exercise results in muscle growth. Besides, timely intake of high-quality protein 120mins after exercise results in muscle growth and </w:t>
      </w:r>
      <w:r w:rsidR="002B31C6" w:rsidRPr="002B31C6">
        <w:rPr>
          <w:rFonts w:cs="Times New Roman"/>
          <w:szCs w:val="24"/>
        </w:rPr>
        <w:t>repair</w:t>
      </w:r>
      <w:r w:rsidR="002B31C6" w:rsidRPr="002B31C6">
        <w:rPr>
          <w:rFonts w:cs="Times New Roman"/>
          <w:szCs w:val="24"/>
          <w:shd w:val="clear" w:color="auto" w:fill="FFFFFF"/>
        </w:rPr>
        <w:t xml:space="preserve"> (Kato et al., 2018)</w:t>
      </w:r>
      <w:r w:rsidR="00B46591" w:rsidRPr="002B31C6">
        <w:rPr>
          <w:rFonts w:cs="Times New Roman"/>
          <w:szCs w:val="24"/>
        </w:rPr>
        <w:t>.</w:t>
      </w:r>
    </w:p>
    <w:p w:rsidR="00D76A25" w:rsidRPr="002B31C6" w:rsidRDefault="009B67B9" w:rsidP="00096612">
      <w:pPr>
        <w:ind w:firstLine="720"/>
        <w:rPr>
          <w:rFonts w:cs="Times New Roman"/>
          <w:szCs w:val="24"/>
        </w:rPr>
      </w:pPr>
      <w:r w:rsidRPr="002B31C6">
        <w:rPr>
          <w:rFonts w:cs="Times New Roman"/>
          <w:szCs w:val="24"/>
        </w:rPr>
        <w:t xml:space="preserve"> However, the strength and span of the exercise play a significant role in protein requirements. Protein and energy need depends on whether the athletes are engaged in new training programs or high rate concentration </w:t>
      </w:r>
      <w:r w:rsidR="00096612" w:rsidRPr="002B31C6">
        <w:rPr>
          <w:rFonts w:cs="Times New Roman"/>
          <w:szCs w:val="24"/>
        </w:rPr>
        <w:t>training. Although athletes need a higher amount of protein than other sportspeople, the requirement is not exaggerated. Nutritionists recommended a range of 2.0 and 1.2 grams of protein per kilogram of the athlete's weight depending on the training. Also, the intake of protein should be spread out throughout the training hours and after exercises.</w:t>
      </w:r>
    </w:p>
    <w:p w:rsidR="00096612" w:rsidRPr="002B31C6" w:rsidRDefault="009B67B9" w:rsidP="00096612">
      <w:pPr>
        <w:rPr>
          <w:rFonts w:cs="Times New Roman"/>
          <w:b/>
          <w:szCs w:val="24"/>
        </w:rPr>
      </w:pPr>
      <w:r w:rsidRPr="002B31C6">
        <w:rPr>
          <w:rFonts w:cs="Times New Roman"/>
          <w:b/>
          <w:szCs w:val="24"/>
        </w:rPr>
        <w:t>Question Three</w:t>
      </w:r>
    </w:p>
    <w:p w:rsidR="00096612" w:rsidRPr="002B31C6" w:rsidRDefault="009B67B9" w:rsidP="00096612">
      <w:pPr>
        <w:rPr>
          <w:rFonts w:cs="Times New Roman"/>
          <w:szCs w:val="24"/>
        </w:rPr>
      </w:pPr>
      <w:r w:rsidRPr="002B31C6">
        <w:rPr>
          <w:rFonts w:cs="Times New Roman"/>
          <w:b/>
          <w:szCs w:val="24"/>
        </w:rPr>
        <w:tab/>
      </w:r>
      <w:r w:rsidR="00360B08" w:rsidRPr="002B31C6">
        <w:rPr>
          <w:rFonts w:cs="Times New Roman"/>
          <w:szCs w:val="24"/>
        </w:rPr>
        <w:t>Individuals who consume very high protein diets have advanced danger of kidney stones. Besides, a meal plan that contains an excess of saturated fats and red meat leads to a higher risk of colon cancer and heart disease. Also, high protein foods such as animal meat contain plenty of cholesterol, which results in hardened arteries, stroke, and heart attack. As a result of excessive intake of proteins, the body produces excessive ammonia, resulting in hepatic encephalopathy</w:t>
      </w:r>
      <w:r w:rsidR="002B31C6" w:rsidRPr="002B31C6">
        <w:rPr>
          <w:rFonts w:cs="Times New Roman"/>
          <w:szCs w:val="24"/>
        </w:rPr>
        <w:t xml:space="preserve"> </w:t>
      </w:r>
      <w:r w:rsidR="002B31C6" w:rsidRPr="002B31C6">
        <w:rPr>
          <w:rFonts w:cs="Times New Roman"/>
          <w:szCs w:val="24"/>
          <w:shd w:val="clear" w:color="auto" w:fill="FFFFFF"/>
        </w:rPr>
        <w:t>(Bémeur &amp; Butterworth, 2012)</w:t>
      </w:r>
      <w:r w:rsidR="00360B08" w:rsidRPr="002B31C6">
        <w:rPr>
          <w:rFonts w:cs="Times New Roman"/>
          <w:szCs w:val="24"/>
        </w:rPr>
        <w:t xml:space="preserve">. </w:t>
      </w:r>
    </w:p>
    <w:p w:rsidR="002B31C6" w:rsidRPr="002B31C6" w:rsidRDefault="002B31C6" w:rsidP="00096612">
      <w:pPr>
        <w:rPr>
          <w:rFonts w:cs="Times New Roman"/>
          <w:szCs w:val="24"/>
        </w:rPr>
      </w:pPr>
    </w:p>
    <w:p w:rsidR="002B31C6" w:rsidRPr="002B31C6" w:rsidRDefault="002B31C6" w:rsidP="002B31C6">
      <w:pPr>
        <w:shd w:val="clear" w:color="auto" w:fill="FFFFFF"/>
        <w:spacing w:after="0" w:line="240" w:lineRule="auto"/>
        <w:jc w:val="center"/>
        <w:rPr>
          <w:rFonts w:eastAsia="Times New Roman" w:cs="Times New Roman"/>
          <w:szCs w:val="24"/>
        </w:rPr>
      </w:pPr>
      <w:r w:rsidRPr="002B31C6">
        <w:rPr>
          <w:rFonts w:eastAsia="Times New Roman" w:cs="Times New Roman"/>
          <w:szCs w:val="24"/>
        </w:rPr>
        <w:t>References</w:t>
      </w:r>
    </w:p>
    <w:p w:rsidR="002B31C6" w:rsidRPr="002B31C6" w:rsidRDefault="002B31C6" w:rsidP="002B31C6">
      <w:pPr>
        <w:shd w:val="clear" w:color="auto" w:fill="FFFFFF"/>
        <w:spacing w:after="0" w:line="550" w:lineRule="atLeast"/>
        <w:ind w:left="720" w:right="75" w:hanging="720"/>
        <w:rPr>
          <w:rFonts w:eastAsia="Times New Roman" w:cs="Times New Roman"/>
          <w:szCs w:val="24"/>
        </w:rPr>
      </w:pPr>
      <w:r w:rsidRPr="002B31C6">
        <w:rPr>
          <w:rFonts w:eastAsia="Times New Roman" w:cs="Times New Roman"/>
          <w:szCs w:val="24"/>
        </w:rPr>
        <w:t>Bémeur, C., &amp; Butterworth, R. F. (2012). Liver-brain proinflammatory signalling in acute liver failure: Role in the pathogenesis of hepatic encephalopathy and brain edema. </w:t>
      </w:r>
      <w:r w:rsidRPr="002B31C6">
        <w:rPr>
          <w:rFonts w:eastAsia="Times New Roman" w:cs="Times New Roman"/>
          <w:i/>
          <w:iCs/>
          <w:szCs w:val="24"/>
        </w:rPr>
        <w:t>Metabolic Brain Disease</w:t>
      </w:r>
      <w:r w:rsidRPr="002B31C6">
        <w:rPr>
          <w:rFonts w:eastAsia="Times New Roman" w:cs="Times New Roman"/>
          <w:szCs w:val="24"/>
        </w:rPr>
        <w:t>, </w:t>
      </w:r>
      <w:r w:rsidRPr="002B31C6">
        <w:rPr>
          <w:rFonts w:eastAsia="Times New Roman" w:cs="Times New Roman"/>
          <w:i/>
          <w:iCs/>
          <w:szCs w:val="24"/>
        </w:rPr>
        <w:t>28</w:t>
      </w:r>
      <w:r w:rsidRPr="002B31C6">
        <w:rPr>
          <w:rFonts w:eastAsia="Times New Roman" w:cs="Times New Roman"/>
          <w:szCs w:val="24"/>
        </w:rPr>
        <w:t>(2), 145-150. </w:t>
      </w:r>
      <w:hyperlink r:id="rId7" w:history="1">
        <w:r w:rsidRPr="002B31C6">
          <w:rPr>
            <w:rFonts w:eastAsia="Times New Roman" w:cs="Times New Roman"/>
            <w:szCs w:val="24"/>
          </w:rPr>
          <w:t>https://doi.org/10.1007/s11011-012-9361-3</w:t>
        </w:r>
      </w:hyperlink>
    </w:p>
    <w:p w:rsidR="002B31C6" w:rsidRPr="002B31C6" w:rsidRDefault="002B31C6" w:rsidP="002B31C6">
      <w:pPr>
        <w:shd w:val="clear" w:color="auto" w:fill="FFFFFF"/>
        <w:spacing w:after="0" w:line="550" w:lineRule="atLeast"/>
        <w:ind w:left="720" w:right="75" w:hanging="720"/>
        <w:rPr>
          <w:rFonts w:eastAsia="Times New Roman" w:cs="Times New Roman"/>
          <w:szCs w:val="24"/>
        </w:rPr>
      </w:pPr>
      <w:r w:rsidRPr="002B31C6">
        <w:rPr>
          <w:rFonts w:eastAsia="Times New Roman" w:cs="Times New Roman"/>
          <w:szCs w:val="24"/>
        </w:rPr>
        <w:t>Kato, H., Volterman, K. A., West, D. W., Suzuki, K., &amp; Moore, D. R. (2018). Nutritionally non-essential amino acids are dispensable for whole-body protein synthesis after exercise in endurance athletes with an adequate essential amino acid intake. </w:t>
      </w:r>
      <w:r w:rsidRPr="002B31C6">
        <w:rPr>
          <w:rFonts w:eastAsia="Times New Roman" w:cs="Times New Roman"/>
          <w:i/>
          <w:iCs/>
          <w:szCs w:val="24"/>
        </w:rPr>
        <w:t>Amino Acids</w:t>
      </w:r>
      <w:r w:rsidRPr="002B31C6">
        <w:rPr>
          <w:rFonts w:eastAsia="Times New Roman" w:cs="Times New Roman"/>
          <w:szCs w:val="24"/>
        </w:rPr>
        <w:t>, </w:t>
      </w:r>
      <w:r w:rsidRPr="002B31C6">
        <w:rPr>
          <w:rFonts w:eastAsia="Times New Roman" w:cs="Times New Roman"/>
          <w:i/>
          <w:iCs/>
          <w:szCs w:val="24"/>
        </w:rPr>
        <w:t>50</w:t>
      </w:r>
      <w:r w:rsidRPr="002B31C6">
        <w:rPr>
          <w:rFonts w:eastAsia="Times New Roman" w:cs="Times New Roman"/>
          <w:szCs w:val="24"/>
        </w:rPr>
        <w:t>(12), 1679-1684. </w:t>
      </w:r>
      <w:hyperlink r:id="rId8" w:history="1">
        <w:r w:rsidRPr="002B31C6">
          <w:rPr>
            <w:rFonts w:eastAsia="Times New Roman" w:cs="Times New Roman"/>
            <w:szCs w:val="24"/>
          </w:rPr>
          <w:t>https://doi.org/10.1007/s00726-018-2639-y</w:t>
        </w:r>
      </w:hyperlink>
    </w:p>
    <w:p w:rsidR="002B31C6" w:rsidRPr="002B31C6" w:rsidRDefault="002B31C6" w:rsidP="002B31C6">
      <w:pPr>
        <w:shd w:val="clear" w:color="auto" w:fill="FFFFFF"/>
        <w:spacing w:after="0" w:line="550" w:lineRule="atLeast"/>
        <w:ind w:left="720" w:right="75" w:hanging="720"/>
        <w:rPr>
          <w:rFonts w:eastAsia="Times New Roman" w:cs="Times New Roman"/>
          <w:szCs w:val="24"/>
        </w:rPr>
      </w:pPr>
      <w:r w:rsidRPr="002B31C6">
        <w:rPr>
          <w:rFonts w:eastAsia="Times New Roman" w:cs="Times New Roman"/>
          <w:szCs w:val="24"/>
        </w:rPr>
        <w:t>McClung, J. P., Gaffney-Stomberg, E., &amp; Lee, J. J. (2014). Female athletes: A population at risk of vitamin and mineral deficiencies affecting health and performance. </w:t>
      </w:r>
      <w:r w:rsidRPr="002B31C6">
        <w:rPr>
          <w:rFonts w:eastAsia="Times New Roman" w:cs="Times New Roman"/>
          <w:i/>
          <w:iCs/>
          <w:szCs w:val="24"/>
        </w:rPr>
        <w:t>Journal of Trace Elements in Medicine and Biology</w:t>
      </w:r>
      <w:r w:rsidRPr="002B31C6">
        <w:rPr>
          <w:rFonts w:eastAsia="Times New Roman" w:cs="Times New Roman"/>
          <w:szCs w:val="24"/>
        </w:rPr>
        <w:t>, </w:t>
      </w:r>
      <w:r w:rsidRPr="002B31C6">
        <w:rPr>
          <w:rFonts w:eastAsia="Times New Roman" w:cs="Times New Roman"/>
          <w:i/>
          <w:iCs/>
          <w:szCs w:val="24"/>
        </w:rPr>
        <w:t>28</w:t>
      </w:r>
      <w:r w:rsidRPr="002B31C6">
        <w:rPr>
          <w:rFonts w:eastAsia="Times New Roman" w:cs="Times New Roman"/>
          <w:szCs w:val="24"/>
        </w:rPr>
        <w:t>(4), 388-392. </w:t>
      </w:r>
      <w:hyperlink r:id="rId9" w:history="1">
        <w:r w:rsidRPr="002B31C6">
          <w:rPr>
            <w:rFonts w:eastAsia="Times New Roman" w:cs="Times New Roman"/>
            <w:szCs w:val="24"/>
          </w:rPr>
          <w:t>https://doi.org/10.1016/j.jtemb.2014.06.022</w:t>
        </w:r>
      </w:hyperlink>
    </w:p>
    <w:p w:rsidR="002B31C6" w:rsidRPr="002B31C6" w:rsidRDefault="002B31C6" w:rsidP="00096612">
      <w:pPr>
        <w:rPr>
          <w:rFonts w:cs="Times New Roman"/>
          <w:szCs w:val="24"/>
        </w:rPr>
      </w:pPr>
    </w:p>
    <w:p w:rsidR="00D76A25" w:rsidRPr="002B31C6" w:rsidRDefault="00D76A25" w:rsidP="004C2359">
      <w:pPr>
        <w:rPr>
          <w:rFonts w:cs="Times New Roman"/>
          <w:szCs w:val="24"/>
        </w:rPr>
      </w:pPr>
    </w:p>
    <w:sectPr w:rsidR="00D76A25" w:rsidRPr="002B31C6">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9B67B9" w:rsidRDefault="009B67B9">
      <w:pPr>
        <w:spacing w:after="0" w:line="240" w:lineRule="auto"/>
      </w:pPr>
      <w:r>
        <w:separator/>
      </w:r>
    </w:p>
  </w:endnote>
  <w:endnote w:type="continuationSeparator" w:id="0">
    <w:p w:rsidR="009B67B9" w:rsidRDefault="009B67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9B67B9" w:rsidRDefault="009B67B9">
      <w:pPr>
        <w:spacing w:after="0" w:line="240" w:lineRule="auto"/>
      </w:pPr>
      <w:r>
        <w:separator/>
      </w:r>
    </w:p>
  </w:footnote>
  <w:footnote w:type="continuationSeparator" w:id="0">
    <w:p w:rsidR="009B67B9" w:rsidRDefault="009B67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44600182"/>
      <w:docPartObj>
        <w:docPartGallery w:val="Page Numbers (Top of Page)"/>
        <w:docPartUnique/>
      </w:docPartObj>
    </w:sdtPr>
    <w:sdtEndPr>
      <w:rPr>
        <w:noProof/>
      </w:rPr>
    </w:sdtEndPr>
    <w:sdtContent>
      <w:p w:rsidR="004C2359" w:rsidRDefault="009B67B9">
        <w:pPr>
          <w:pStyle w:val="Header"/>
          <w:jc w:val="right"/>
        </w:pPr>
        <w:r>
          <w:fldChar w:fldCharType="begin"/>
        </w:r>
        <w:r>
          <w:instrText xml:space="preserve"> PAGE   \* MERGEFORMAT </w:instrText>
        </w:r>
        <w:r>
          <w:fldChar w:fldCharType="separate"/>
        </w:r>
        <w:r w:rsidR="002B31C6">
          <w:rPr>
            <w:noProof/>
          </w:rPr>
          <w:t>3</w:t>
        </w:r>
        <w:r>
          <w:rPr>
            <w:noProof/>
          </w:rPr>
          <w:fldChar w:fldCharType="end"/>
        </w:r>
      </w:p>
    </w:sdtContent>
  </w:sdt>
  <w:p w:rsidR="004C2359" w:rsidRDefault="004C235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5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2359"/>
    <w:rsid w:val="000007A3"/>
    <w:rsid w:val="00096612"/>
    <w:rsid w:val="002B31C6"/>
    <w:rsid w:val="00346F8F"/>
    <w:rsid w:val="00360B08"/>
    <w:rsid w:val="00436ED7"/>
    <w:rsid w:val="004C2359"/>
    <w:rsid w:val="008E0372"/>
    <w:rsid w:val="00901A4A"/>
    <w:rsid w:val="009B67B9"/>
    <w:rsid w:val="00AD7547"/>
    <w:rsid w:val="00B46591"/>
    <w:rsid w:val="00C360C9"/>
    <w:rsid w:val="00C7143D"/>
    <w:rsid w:val="00C918D7"/>
    <w:rsid w:val="00D76A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7AB6C10-00B7-4E61-BC72-48298F4A4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23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2359"/>
  </w:style>
  <w:style w:type="paragraph" w:styleId="Footer">
    <w:name w:val="footer"/>
    <w:basedOn w:val="Normal"/>
    <w:link w:val="FooterChar"/>
    <w:uiPriority w:val="99"/>
    <w:unhideWhenUsed/>
    <w:rsid w:val="004C23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2359"/>
  </w:style>
  <w:style w:type="character" w:customStyle="1" w:styleId="gray">
    <w:name w:val="gray"/>
    <w:basedOn w:val="DefaultParagraphFont"/>
    <w:rsid w:val="002B31C6"/>
  </w:style>
  <w:style w:type="paragraph" w:styleId="NormalWeb">
    <w:name w:val="Normal (Web)"/>
    <w:basedOn w:val="Normal"/>
    <w:uiPriority w:val="99"/>
    <w:semiHidden/>
    <w:unhideWhenUsed/>
    <w:rsid w:val="002B31C6"/>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2B31C6"/>
    <w:rPr>
      <w:i/>
      <w:iCs/>
    </w:rPr>
  </w:style>
  <w:style w:type="character" w:styleId="Hyperlink">
    <w:name w:val="Hyperlink"/>
    <w:basedOn w:val="DefaultParagraphFont"/>
    <w:uiPriority w:val="99"/>
    <w:semiHidden/>
    <w:unhideWhenUsed/>
    <w:rsid w:val="002B31C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28216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07/s00726-018-2639-y" TargetMode="External" /><Relationship Id="rId3" Type="http://schemas.openxmlformats.org/officeDocument/2006/relationships/webSettings" Target="webSettings.xml" /><Relationship Id="rId7" Type="http://schemas.openxmlformats.org/officeDocument/2006/relationships/hyperlink" Target="https://doi.org/10.1007/s11011-012-9361-3" TargetMode="External" /><Relationship Id="rId12" Type="http://schemas.openxmlformats.org/officeDocument/2006/relationships/theme" Target="theme/theme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image" Target="media/image1.jpeg" /><Relationship Id="rId11" Type="http://schemas.openxmlformats.org/officeDocument/2006/relationships/fontTable" Target="fontTable.xml" /><Relationship Id="rId5" Type="http://schemas.openxmlformats.org/officeDocument/2006/relationships/endnotes" Target="endnotes.xml" /><Relationship Id="rId10" Type="http://schemas.openxmlformats.org/officeDocument/2006/relationships/header" Target="header1.xml" /><Relationship Id="rId4" Type="http://schemas.openxmlformats.org/officeDocument/2006/relationships/footnotes" Target="footnotes.xml" /><Relationship Id="rId9" Type="http://schemas.openxmlformats.org/officeDocument/2006/relationships/hyperlink" Target="https://doi.org/10.1016/j.jtemb.2014.06.022"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536</Words>
  <Characters>3059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SATELITE</dc:creator>
  <cp:lastModifiedBy>nyoike31@gmail.com</cp:lastModifiedBy>
  <cp:revision>2</cp:revision>
  <dcterms:created xsi:type="dcterms:W3CDTF">2020-09-22T21:50:00Z</dcterms:created>
  <dcterms:modified xsi:type="dcterms:W3CDTF">2020-09-22T21:50:00Z</dcterms:modified>
</cp:coreProperties>
</file>