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F25DC" w14:textId="77777777" w:rsidR="00542021" w:rsidRDefault="00E2495A" w:rsidP="002A4067">
      <w:pPr>
        <w:spacing w:line="480" w:lineRule="auto"/>
        <w:jc w:val="center"/>
      </w:pPr>
      <w:r>
        <w:t xml:space="preserve">             </w:t>
      </w:r>
    </w:p>
    <w:p w14:paraId="70E87A91" w14:textId="77777777" w:rsidR="00542021" w:rsidRDefault="00542021" w:rsidP="002A4067">
      <w:pPr>
        <w:spacing w:line="480" w:lineRule="auto"/>
        <w:jc w:val="center"/>
      </w:pPr>
    </w:p>
    <w:p w14:paraId="21B308AF" w14:textId="77777777" w:rsidR="00542021" w:rsidRDefault="00542021" w:rsidP="002A4067">
      <w:pPr>
        <w:spacing w:line="480" w:lineRule="auto"/>
        <w:jc w:val="center"/>
      </w:pPr>
    </w:p>
    <w:p w14:paraId="6C60ECBA" w14:textId="77777777" w:rsidR="00542021" w:rsidRDefault="00542021" w:rsidP="002A4067">
      <w:pPr>
        <w:spacing w:line="480" w:lineRule="auto"/>
        <w:jc w:val="center"/>
      </w:pPr>
    </w:p>
    <w:p w14:paraId="5D667C87" w14:textId="77777777" w:rsidR="00542021" w:rsidRDefault="00542021" w:rsidP="002A4067">
      <w:pPr>
        <w:spacing w:line="480" w:lineRule="auto"/>
        <w:jc w:val="center"/>
      </w:pPr>
    </w:p>
    <w:p w14:paraId="3FC42288" w14:textId="77777777" w:rsidR="00542021" w:rsidRDefault="00542021" w:rsidP="002A4067">
      <w:pPr>
        <w:spacing w:line="480" w:lineRule="auto"/>
        <w:jc w:val="center"/>
      </w:pPr>
    </w:p>
    <w:p w14:paraId="626D8CED" w14:textId="77777777" w:rsidR="00542021" w:rsidRDefault="00542021" w:rsidP="002A4067">
      <w:pPr>
        <w:spacing w:line="480" w:lineRule="auto"/>
        <w:jc w:val="center"/>
      </w:pPr>
    </w:p>
    <w:p w14:paraId="5F1CD14A" w14:textId="0721D647" w:rsidR="008754EF" w:rsidRDefault="00152F65" w:rsidP="008754EF">
      <w:pPr>
        <w:spacing w:line="480" w:lineRule="auto"/>
        <w:ind w:firstLine="720"/>
        <w:jc w:val="center"/>
      </w:pPr>
      <w:r>
        <w:t>Public Health Occupations</w:t>
      </w:r>
    </w:p>
    <w:p w14:paraId="6F95F10D" w14:textId="77777777" w:rsidR="008754EF" w:rsidRDefault="008754EF" w:rsidP="008754EF">
      <w:pPr>
        <w:spacing w:line="480" w:lineRule="auto"/>
        <w:ind w:firstLine="720"/>
        <w:jc w:val="center"/>
      </w:pPr>
      <w:r>
        <w:t>Student’s Name</w:t>
      </w:r>
    </w:p>
    <w:p w14:paraId="664D7283" w14:textId="77777777" w:rsidR="008754EF" w:rsidRDefault="008754EF" w:rsidP="008754EF">
      <w:pPr>
        <w:spacing w:line="480" w:lineRule="auto"/>
        <w:ind w:firstLine="720"/>
        <w:jc w:val="center"/>
      </w:pPr>
      <w:r>
        <w:t>University</w:t>
      </w:r>
    </w:p>
    <w:p w14:paraId="442EEFEB" w14:textId="77777777" w:rsidR="008754EF" w:rsidRDefault="008754EF" w:rsidP="008754EF">
      <w:pPr>
        <w:spacing w:line="480" w:lineRule="auto"/>
        <w:ind w:firstLine="720"/>
        <w:jc w:val="center"/>
      </w:pPr>
      <w:r>
        <w:t>Course</w:t>
      </w:r>
    </w:p>
    <w:p w14:paraId="57B6EC87" w14:textId="77777777" w:rsidR="008754EF" w:rsidRDefault="008754EF" w:rsidP="008754EF">
      <w:pPr>
        <w:spacing w:line="480" w:lineRule="auto"/>
        <w:ind w:firstLine="720"/>
        <w:jc w:val="center"/>
      </w:pPr>
      <w:r>
        <w:t>Professor</w:t>
      </w:r>
    </w:p>
    <w:p w14:paraId="1F9CCEF0" w14:textId="77777777" w:rsidR="008754EF" w:rsidRDefault="008754EF" w:rsidP="008754EF">
      <w:pPr>
        <w:spacing w:line="480" w:lineRule="auto"/>
        <w:ind w:firstLine="720"/>
        <w:jc w:val="center"/>
      </w:pPr>
      <w:r>
        <w:t>Date</w:t>
      </w:r>
    </w:p>
    <w:p w14:paraId="5DBB8322" w14:textId="77777777" w:rsidR="008754EF" w:rsidRDefault="008754EF" w:rsidP="008754EF">
      <w:pPr>
        <w:spacing w:line="480" w:lineRule="auto"/>
        <w:ind w:firstLine="720"/>
        <w:jc w:val="center"/>
        <w:rPr>
          <w:b/>
        </w:rPr>
      </w:pPr>
    </w:p>
    <w:p w14:paraId="7DA2A729" w14:textId="77777777" w:rsidR="008754EF" w:rsidRDefault="008754EF" w:rsidP="008754EF">
      <w:pPr>
        <w:spacing w:line="480" w:lineRule="auto"/>
        <w:ind w:firstLine="720"/>
        <w:jc w:val="center"/>
        <w:rPr>
          <w:b/>
        </w:rPr>
      </w:pPr>
    </w:p>
    <w:p w14:paraId="63F3BABE" w14:textId="77777777" w:rsidR="008754EF" w:rsidRDefault="008754EF" w:rsidP="008754EF">
      <w:pPr>
        <w:spacing w:line="480" w:lineRule="auto"/>
        <w:ind w:firstLine="720"/>
        <w:jc w:val="center"/>
        <w:rPr>
          <w:b/>
        </w:rPr>
      </w:pPr>
    </w:p>
    <w:p w14:paraId="184FE5C4" w14:textId="77777777" w:rsidR="008754EF" w:rsidRDefault="008754EF" w:rsidP="008754EF">
      <w:pPr>
        <w:spacing w:line="480" w:lineRule="auto"/>
        <w:ind w:firstLine="720"/>
        <w:jc w:val="center"/>
        <w:rPr>
          <w:b/>
        </w:rPr>
      </w:pPr>
    </w:p>
    <w:p w14:paraId="4C2E4268" w14:textId="77777777" w:rsidR="008754EF" w:rsidRDefault="008754EF" w:rsidP="008754EF">
      <w:pPr>
        <w:spacing w:line="480" w:lineRule="auto"/>
        <w:ind w:firstLine="720"/>
        <w:jc w:val="center"/>
        <w:rPr>
          <w:b/>
        </w:rPr>
      </w:pPr>
    </w:p>
    <w:p w14:paraId="25B65E15" w14:textId="77777777" w:rsidR="008754EF" w:rsidRDefault="008754EF" w:rsidP="008754EF">
      <w:pPr>
        <w:spacing w:line="480" w:lineRule="auto"/>
        <w:ind w:firstLine="720"/>
        <w:jc w:val="center"/>
        <w:rPr>
          <w:b/>
        </w:rPr>
      </w:pPr>
    </w:p>
    <w:p w14:paraId="60441E59" w14:textId="77777777" w:rsidR="008754EF" w:rsidRDefault="008754EF" w:rsidP="008754EF">
      <w:pPr>
        <w:spacing w:line="480" w:lineRule="auto"/>
        <w:ind w:firstLine="720"/>
        <w:jc w:val="center"/>
        <w:rPr>
          <w:b/>
        </w:rPr>
      </w:pPr>
    </w:p>
    <w:p w14:paraId="585A419C" w14:textId="77777777" w:rsidR="008754EF" w:rsidRDefault="008754EF" w:rsidP="008754EF">
      <w:pPr>
        <w:spacing w:line="480" w:lineRule="auto"/>
        <w:rPr>
          <w:b/>
        </w:rPr>
      </w:pPr>
    </w:p>
    <w:p w14:paraId="715B0B79" w14:textId="77777777" w:rsidR="008754EF" w:rsidRDefault="008754EF" w:rsidP="008754EF">
      <w:pPr>
        <w:spacing w:line="480" w:lineRule="auto"/>
        <w:rPr>
          <w:b/>
        </w:rPr>
      </w:pPr>
    </w:p>
    <w:p w14:paraId="1993F0FD" w14:textId="77777777" w:rsidR="008754EF" w:rsidRDefault="008754EF" w:rsidP="008754EF">
      <w:pPr>
        <w:spacing w:line="480" w:lineRule="auto"/>
        <w:ind w:firstLine="720"/>
        <w:jc w:val="center"/>
        <w:rPr>
          <w:b/>
        </w:rPr>
      </w:pPr>
    </w:p>
    <w:p w14:paraId="5EAFC807" w14:textId="5AB80091" w:rsidR="00331854" w:rsidRDefault="00331854" w:rsidP="00331854">
      <w:pPr>
        <w:spacing w:line="480" w:lineRule="auto"/>
        <w:ind w:firstLine="720"/>
        <w:jc w:val="center"/>
      </w:pPr>
      <w:r>
        <w:lastRenderedPageBreak/>
        <w:t>Public Health Occupations</w:t>
      </w:r>
    </w:p>
    <w:p w14:paraId="3C18B8B3" w14:textId="7B29627C" w:rsidR="00441C1A" w:rsidRDefault="00441C1A" w:rsidP="00441C1A">
      <w:pPr>
        <w:spacing w:line="480" w:lineRule="auto"/>
        <w:ind w:firstLine="720"/>
      </w:pPr>
      <w:r>
        <w:t>Lack of quality and affordable healthcare services has been a major problem in many countries. Many countries face challenges in their struggle to provide the citizens with quality and cost-effective healthcare services. Poor quality and increased costs in public hospitals have been among the major concerns in Saudi Arabia. The country has adopted some policies to address these concerns. For instance, there are some changes in the health care system, like privatizing public hospitals and the introduction of health insurance for citizens and foreign workers. The paper will address the changes in the health care occupations in Saudi Arabia over the last 50 years, how the healthcare occupations will look in 20 years from now, and explaining the factors that will facilitate the changes.</w:t>
      </w:r>
    </w:p>
    <w:p w14:paraId="1B728505" w14:textId="677337F7" w:rsidR="00441C1A" w:rsidRDefault="00441C1A" w:rsidP="00441C1A">
      <w:pPr>
        <w:spacing w:line="480" w:lineRule="auto"/>
        <w:ind w:firstLine="720"/>
      </w:pPr>
      <w:r>
        <w:t>In 1949, Saudi Arabia only had a few medical workers (111 doctors), and the documented beds were less than a hundred. The kingdom has made many changes in the health care system organizations since then, with developments in healthcare being taken to every part of the kingdom. Alma Alta's declaration that happened in 1978, which made reforms in primary healthcare, was adopted to enhance the expansion of healthcare services across the nation. In 1998, the number of nurses had increased from 3261 to 64790 and that of the doctors from 1172 to 30281. The number of hospitals in the country had grown to over 300 and 1700 Centers for primary healthcare</w:t>
      </w:r>
      <w:r w:rsidR="00656B51">
        <w:t xml:space="preserve"> (</w:t>
      </w:r>
      <w:r w:rsidR="00656B51">
        <w:rPr>
          <w:color w:val="222222"/>
          <w:shd w:val="clear" w:color="auto" w:fill="FFFFFF"/>
        </w:rPr>
        <w:t xml:space="preserve">Tyrovolas et al., </w:t>
      </w:r>
      <w:r w:rsidR="00656B51" w:rsidRPr="008E6874">
        <w:rPr>
          <w:color w:val="222222"/>
          <w:shd w:val="clear" w:color="auto" w:fill="FFFFFF"/>
        </w:rPr>
        <w:t>2020)</w:t>
      </w:r>
      <w:r>
        <w:t>. The government spending on healthcare had also increased where the ministry of health's budget was 3.2 billion US dollars in 1998, which comprised around 6.2% of the country's total budget. Healthcare systems development has also ensured an increase in healthcare quality where special equipment has been installed in hospitals to perform various procedures like surgeries and transplants. Medical education also increased in the country where more than 89 dentists and 340 doctors graduated from 2 dental schools and five medical colleges in 1998.The health care sector was also among the main public spending beneficiaries during the 2003-2013 oil booms. During this period, health sector spending rose by 9.6 on average every year in the decade, where in 2013, the spending was around SAR 84.4 billion.</w:t>
      </w:r>
    </w:p>
    <w:p w14:paraId="36E61DAC" w14:textId="56C76293" w:rsidR="009F51F9" w:rsidRDefault="00441C1A" w:rsidP="00441C1A">
      <w:pPr>
        <w:spacing w:line="480" w:lineRule="auto"/>
        <w:ind w:firstLine="720"/>
      </w:pPr>
      <w:r>
        <w:t>The Saudi Arabian government is very committed to enhancing development in the healthcare sector in the future. The National Transformation Program (NTP) introduced in 2020 and vision 2030 collectively focuses on improving the healthcare quality and use of improved facilities across the nation. The country expects a shift in the demography in the next decade with an increased life expectancy to above 60 years, a rise in the private sector's participation, and an increase in the coverage of health insurance</w:t>
      </w:r>
      <w:r w:rsidR="009F51F9">
        <w:t xml:space="preserve"> (</w:t>
      </w:r>
      <w:r w:rsidR="009F51F9">
        <w:rPr>
          <w:color w:val="222222"/>
          <w:shd w:val="clear" w:color="auto" w:fill="FFFFFF"/>
        </w:rPr>
        <w:t xml:space="preserve">Rahman &amp; Alsharqi </w:t>
      </w:r>
      <w:r w:rsidR="009F51F9" w:rsidRPr="008E6874">
        <w:rPr>
          <w:color w:val="222222"/>
          <w:shd w:val="clear" w:color="auto" w:fill="FFFFFF"/>
        </w:rPr>
        <w:t>2019)</w:t>
      </w:r>
      <w:r>
        <w:t>. These are among the major factors that the government is focusing on to enhance an increase in the opportunities in the healthcare sector in the country. Also, the vision 2030 and NTP's main agenda is the improvement of quality of services in healthcare and improvement of facilities and ensuring optimal use of the available resources, which will create a conducive environment for the private sector's participation.</w:t>
      </w:r>
    </w:p>
    <w:p w14:paraId="1365CA11" w14:textId="350D13AC" w:rsidR="00441C1A" w:rsidRDefault="00441C1A" w:rsidP="00441C1A">
      <w:pPr>
        <w:spacing w:line="480" w:lineRule="auto"/>
        <w:ind w:firstLine="720"/>
      </w:pPr>
      <w:r>
        <w:t xml:space="preserve"> Alaa Adel, the general manager and the senior director of Cerner Middle East, whose main focus is the satisfaction of the clients and organizational development in Saudi Arabia and Africa, believes that despite the many challenges in the healthcare system, the government is changing the healthcare dynamics in the country. Adopting better frameworks for regulation in the healthcare sector will ensure an increase in private investors' investments and encourage a partnership between the public and the private sectors, which will ensure the sector's growth despite the many challenges. The government is aiming at shifting its role from being a service provider to becoming a regulator. The government will ensure quality healthcare services and create competitiveness in the sector to increase efficiency and better outcomes.</w:t>
      </w:r>
    </w:p>
    <w:p w14:paraId="430598F6" w14:textId="1593DBB6" w:rsidR="00441C1A" w:rsidRPr="00441C1A" w:rsidRDefault="00441C1A" w:rsidP="00441C1A">
      <w:pPr>
        <w:spacing w:line="480" w:lineRule="auto"/>
        <w:ind w:firstLine="720"/>
        <w:jc w:val="center"/>
        <w:rPr>
          <w:b/>
        </w:rPr>
      </w:pPr>
      <w:r w:rsidRPr="00441C1A">
        <w:rPr>
          <w:b/>
        </w:rPr>
        <w:t xml:space="preserve">The following factors will facilitate changes in public health occupation. </w:t>
      </w:r>
    </w:p>
    <w:p w14:paraId="48C9E457" w14:textId="77777777" w:rsidR="00441C1A" w:rsidRDefault="00441C1A" w:rsidP="00441C1A">
      <w:pPr>
        <w:spacing w:line="480" w:lineRule="auto"/>
        <w:ind w:firstLine="720"/>
        <w:jc w:val="center"/>
      </w:pPr>
      <w:r>
        <w:t>An increase in the use of information technology in the health sector</w:t>
      </w:r>
    </w:p>
    <w:p w14:paraId="0449C8AF" w14:textId="185E49A2" w:rsidR="00441C1A" w:rsidRDefault="00441C1A" w:rsidP="00441C1A">
      <w:pPr>
        <w:spacing w:line="480" w:lineRule="auto"/>
        <w:ind w:firstLine="720"/>
      </w:pPr>
      <w:r>
        <w:t>Digital innovations in the healthcare sector are very important in ensuring the realization of vision 2030. The ministry of health expects to increase the digital records of the citizens in Saudi Arabia by at least 70%. An increase in the use of information technology in the sector will ensure improvement in the providers' productivity and performance. It will also ensure the provision of high-quality services over the years</w:t>
      </w:r>
      <w:r w:rsidR="009F51F9">
        <w:t xml:space="preserve"> (</w:t>
      </w:r>
      <w:r w:rsidR="009F51F9">
        <w:rPr>
          <w:color w:val="222222"/>
          <w:shd w:val="clear" w:color="auto" w:fill="FFFFFF"/>
        </w:rPr>
        <w:t xml:space="preserve">Albejaidi &amp; Nair </w:t>
      </w:r>
      <w:r w:rsidR="009F51F9" w:rsidRPr="008E6874">
        <w:rPr>
          <w:color w:val="222222"/>
          <w:shd w:val="clear" w:color="auto" w:fill="FFFFFF"/>
        </w:rPr>
        <w:t>2019)</w:t>
      </w:r>
      <w:r w:rsidR="009F51F9">
        <w:t xml:space="preserve">. Integrating </w:t>
      </w:r>
      <w:r>
        <w:t>technology in the health sector will lead to conveniences and efficiency in the sector as it reduces complications in the prices of diagnosing the patients, leading to desirable outcomes.</w:t>
      </w:r>
    </w:p>
    <w:p w14:paraId="1DA48458" w14:textId="77777777" w:rsidR="00441C1A" w:rsidRDefault="00441C1A" w:rsidP="00441C1A">
      <w:pPr>
        <w:spacing w:line="480" w:lineRule="auto"/>
        <w:ind w:firstLine="720"/>
        <w:jc w:val="center"/>
      </w:pPr>
      <w:r>
        <w:t>Improvement of the training facilities and healthcare education</w:t>
      </w:r>
    </w:p>
    <w:p w14:paraId="4B75E23C" w14:textId="38C560AE" w:rsidR="00441C1A" w:rsidRDefault="00441C1A" w:rsidP="00441C1A">
      <w:pPr>
        <w:spacing w:line="480" w:lineRule="auto"/>
        <w:ind w:firstLine="720"/>
      </w:pPr>
      <w:r>
        <w:t>Healthcare training and education are among the main objectives of NTP. For the country to realize the healthcare system's objectives there is a need for the government to emphasize the improvement of the healthcare facilities and increased training of the medical workers</w:t>
      </w:r>
      <w:r w:rsidR="00992BAB">
        <w:t xml:space="preserve"> (</w:t>
      </w:r>
      <w:r w:rsidR="00992BAB">
        <w:rPr>
          <w:color w:val="222222"/>
          <w:shd w:val="clear" w:color="auto" w:fill="FFFFFF"/>
        </w:rPr>
        <w:t xml:space="preserve">Tyrovolas et al., </w:t>
      </w:r>
      <w:r w:rsidR="00992BAB" w:rsidRPr="008E6874">
        <w:rPr>
          <w:color w:val="222222"/>
          <w:shd w:val="clear" w:color="auto" w:fill="FFFFFF"/>
        </w:rPr>
        <w:t>2020)</w:t>
      </w:r>
      <w:r>
        <w:t>. Training of the medical workers is being catered for both domestically and through the use of expatriates. Increased training of the healthcare workers and improvement of the facilities will ensure the realization of vision 2030. More health practitioners will help to meet the medical requirements in the population.</w:t>
      </w:r>
    </w:p>
    <w:p w14:paraId="0474EF78" w14:textId="3829E425" w:rsidR="00441C1A" w:rsidRPr="00152F65" w:rsidRDefault="00441C1A" w:rsidP="00152F65">
      <w:pPr>
        <w:spacing w:line="480" w:lineRule="auto"/>
        <w:jc w:val="center"/>
        <w:rPr>
          <w:b/>
        </w:rPr>
      </w:pPr>
      <w:r w:rsidRPr="00152F65">
        <w:rPr>
          <w:b/>
        </w:rPr>
        <w:t xml:space="preserve">Increase </w:t>
      </w:r>
      <w:r w:rsidR="00152F65" w:rsidRPr="00152F65">
        <w:rPr>
          <w:b/>
        </w:rPr>
        <w:t>in the Medical Insurance</w:t>
      </w:r>
    </w:p>
    <w:p w14:paraId="15136FA4" w14:textId="57264989" w:rsidR="00441C1A" w:rsidRDefault="00441C1A" w:rsidP="00441C1A">
      <w:pPr>
        <w:spacing w:line="480" w:lineRule="auto"/>
        <w:ind w:firstLine="720"/>
      </w:pPr>
      <w:r>
        <w:t>In Saudi Arabia, it is a compulsory requirement for both nationals and expatriates to have medical insurance. Medical insurance ensures that people in the country will have access to medical healthcare without having financial difficulties. An increase in the medical insurance coverage will ensure that all the individuals in the country will access healthcare services, increasing life expectancy and boosting health in the population. This will ensure the realization of the goals in the public health sector.</w:t>
      </w:r>
    </w:p>
    <w:p w14:paraId="25AE9E07" w14:textId="25D3FE90" w:rsidR="00441C1A" w:rsidRPr="00152F65" w:rsidRDefault="00441C1A" w:rsidP="00152F65">
      <w:pPr>
        <w:spacing w:line="480" w:lineRule="auto"/>
        <w:jc w:val="center"/>
        <w:rPr>
          <w:b/>
        </w:rPr>
      </w:pPr>
      <w:bookmarkStart w:id="0" w:name="_GoBack"/>
      <w:r w:rsidRPr="00152F65">
        <w:rPr>
          <w:b/>
        </w:rPr>
        <w:t xml:space="preserve">An </w:t>
      </w:r>
      <w:r w:rsidR="00152F65" w:rsidRPr="00152F65">
        <w:rPr>
          <w:b/>
        </w:rPr>
        <w:t>Increase in the Private Medical Facilities</w:t>
      </w:r>
    </w:p>
    <w:bookmarkEnd w:id="0"/>
    <w:p w14:paraId="36F135E8" w14:textId="50927611" w:rsidR="00441C1A" w:rsidRDefault="00441C1A" w:rsidP="00441C1A">
      <w:pPr>
        <w:spacing w:line="480" w:lineRule="auto"/>
        <w:ind w:firstLine="720"/>
      </w:pPr>
      <w:r>
        <w:t>The main agenda of vision 2030 is the privatization of public healthcare to increase efficiency in the sector. The private sector in the country has been involved in several activities, including healthcare facilities management, administration, production of healthcare products, and healthcare services provision, among other responsibilities</w:t>
      </w:r>
      <w:r w:rsidR="009F51F9">
        <w:t xml:space="preserve"> (</w:t>
      </w:r>
      <w:r w:rsidR="009F51F9">
        <w:rPr>
          <w:color w:val="222222"/>
          <w:shd w:val="clear" w:color="auto" w:fill="FFFFFF"/>
        </w:rPr>
        <w:t xml:space="preserve">Al Asmri et al., </w:t>
      </w:r>
      <w:r w:rsidR="009F51F9" w:rsidRPr="008E6874">
        <w:rPr>
          <w:color w:val="222222"/>
          <w:shd w:val="clear" w:color="auto" w:fill="FFFFFF"/>
        </w:rPr>
        <w:t>2020)</w:t>
      </w:r>
      <w:r>
        <w:t>. The increased participation of the private sector in healthcare will ensure an increase in healthcare quality in the country. The public sector is often accompanied by consumer dissatisfaction and inefficiencies. The public sector's involvement will ensure equity and better access to medical care by both citizens and expatriates.  This will help in the realization of the goals in the public health occupations in Saudi Arabia.</w:t>
      </w:r>
    </w:p>
    <w:p w14:paraId="4F8AB1D5" w14:textId="071ACFFA" w:rsidR="00B00DAC" w:rsidRDefault="00441C1A" w:rsidP="00992BAB">
      <w:pPr>
        <w:spacing w:line="480" w:lineRule="auto"/>
        <w:ind w:firstLine="720"/>
      </w:pPr>
      <w:r>
        <w:t xml:space="preserve"> Saudi Arabia has experienced many changes in the health sector over the years where the government has taken major initiatives to ensure a balance in the fiscal deficit and the expenditure.  Vision 2030 and the NTP have ensured the realization of these changes in the sector. The government's various measures and objectives in the healthcare sector have enabled the sector to become more focused on realizing sustainable healthcare in the country. The government aims at</w:t>
      </w:r>
      <w:r w:rsidR="0070716A">
        <w:t xml:space="preserve"> </w:t>
      </w:r>
      <w:r>
        <w:t>privatizing the healthcare sector</w:t>
      </w:r>
      <w:r w:rsidR="0070716A">
        <w:t xml:space="preserve"> </w:t>
      </w:r>
      <w:r>
        <w:t>as a way of achieving efficiency in healthcare. Several factors like privatization, medical insurance, and use of information technology in the healthcare sector, and increased training of medical workers will ensure the realization of the health sector's goals and objectives in years to come.</w:t>
      </w:r>
    </w:p>
    <w:p w14:paraId="2AA9585A" w14:textId="77777777" w:rsidR="00992BAB" w:rsidRDefault="00992BAB" w:rsidP="00992BAB">
      <w:pPr>
        <w:spacing w:line="480" w:lineRule="auto"/>
        <w:ind w:firstLine="720"/>
      </w:pPr>
    </w:p>
    <w:p w14:paraId="16D51D76" w14:textId="4EF56301" w:rsidR="00B00DAC" w:rsidRDefault="00B00DAC" w:rsidP="00B00DAC">
      <w:pPr>
        <w:spacing w:line="480" w:lineRule="auto"/>
        <w:ind w:firstLine="720"/>
        <w:jc w:val="center"/>
      </w:pPr>
      <w:r>
        <w:t>References</w:t>
      </w:r>
    </w:p>
    <w:p w14:paraId="36E3FA46" w14:textId="276F3285" w:rsidR="00B00DAC" w:rsidRPr="008E6874" w:rsidRDefault="00B00DAC" w:rsidP="00152F65">
      <w:pPr>
        <w:spacing w:line="480" w:lineRule="auto"/>
        <w:ind w:left="720" w:hanging="720"/>
        <w:rPr>
          <w:color w:val="222222"/>
          <w:shd w:val="clear" w:color="auto" w:fill="FFFFFF"/>
        </w:rPr>
      </w:pPr>
      <w:r w:rsidRPr="008E6874">
        <w:rPr>
          <w:color w:val="222222"/>
          <w:shd w:val="clear" w:color="auto" w:fill="FFFFFF"/>
        </w:rPr>
        <w:t>Al Asmri, M., Almalki, M. J., Fitzgerald, G., &amp; Clark, M. (2020). The public health care system and primary care services in Saudi Arabia: a system in transition. </w:t>
      </w:r>
      <w:r w:rsidRPr="008E6874">
        <w:rPr>
          <w:i/>
          <w:iCs/>
          <w:color w:val="222222"/>
          <w:shd w:val="clear" w:color="auto" w:fill="FFFFFF"/>
        </w:rPr>
        <w:t>Eastern Mediterranean Health Journal</w:t>
      </w:r>
      <w:r w:rsidRPr="008E6874">
        <w:rPr>
          <w:color w:val="222222"/>
          <w:shd w:val="clear" w:color="auto" w:fill="FFFFFF"/>
        </w:rPr>
        <w:t>, </w:t>
      </w:r>
      <w:r w:rsidRPr="008E6874">
        <w:rPr>
          <w:i/>
          <w:iCs/>
          <w:color w:val="222222"/>
          <w:shd w:val="clear" w:color="auto" w:fill="FFFFFF"/>
        </w:rPr>
        <w:t>26</w:t>
      </w:r>
      <w:r w:rsidRPr="008E6874">
        <w:rPr>
          <w:color w:val="222222"/>
          <w:shd w:val="clear" w:color="auto" w:fill="FFFFFF"/>
        </w:rPr>
        <w:t>(4).</w:t>
      </w:r>
    </w:p>
    <w:p w14:paraId="6FF1E9D6" w14:textId="71B64B88" w:rsidR="00B00DAC" w:rsidRPr="008E6874" w:rsidRDefault="00B00DAC" w:rsidP="00152F65">
      <w:pPr>
        <w:spacing w:line="480" w:lineRule="auto"/>
        <w:ind w:left="720" w:hanging="720"/>
        <w:rPr>
          <w:color w:val="222222"/>
          <w:shd w:val="clear" w:color="auto" w:fill="FFFFFF"/>
        </w:rPr>
      </w:pPr>
      <w:r w:rsidRPr="008E6874">
        <w:rPr>
          <w:color w:val="222222"/>
          <w:shd w:val="clear" w:color="auto" w:fill="FFFFFF"/>
        </w:rPr>
        <w:t>Albejaidi, F., &amp; Nair, K. S. (2019). Building the health workforce: Saudi Arabia's challenges in achieving Vision 2030. </w:t>
      </w:r>
      <w:r w:rsidRPr="008E6874">
        <w:rPr>
          <w:i/>
          <w:iCs/>
          <w:color w:val="222222"/>
          <w:shd w:val="clear" w:color="auto" w:fill="FFFFFF"/>
        </w:rPr>
        <w:t>The International journal of health planning and management</w:t>
      </w:r>
      <w:r w:rsidRPr="008E6874">
        <w:rPr>
          <w:color w:val="222222"/>
          <w:shd w:val="clear" w:color="auto" w:fill="FFFFFF"/>
        </w:rPr>
        <w:t>, </w:t>
      </w:r>
      <w:r w:rsidRPr="008E6874">
        <w:rPr>
          <w:i/>
          <w:iCs/>
          <w:color w:val="222222"/>
          <w:shd w:val="clear" w:color="auto" w:fill="FFFFFF"/>
        </w:rPr>
        <w:t>34</w:t>
      </w:r>
      <w:r w:rsidRPr="008E6874">
        <w:rPr>
          <w:color w:val="222222"/>
          <w:shd w:val="clear" w:color="auto" w:fill="FFFFFF"/>
        </w:rPr>
        <w:t>(4), e1405-e1416.</w:t>
      </w:r>
    </w:p>
    <w:p w14:paraId="797C9AE9" w14:textId="0B8D2B1C" w:rsidR="00B00DAC" w:rsidRPr="008E6874" w:rsidRDefault="00B00DAC" w:rsidP="00152F65">
      <w:pPr>
        <w:spacing w:line="480" w:lineRule="auto"/>
        <w:ind w:left="720" w:hanging="720"/>
        <w:rPr>
          <w:color w:val="222222"/>
          <w:shd w:val="clear" w:color="auto" w:fill="FFFFFF"/>
        </w:rPr>
      </w:pPr>
      <w:r w:rsidRPr="008E6874">
        <w:rPr>
          <w:color w:val="222222"/>
          <w:shd w:val="clear" w:color="auto" w:fill="FFFFFF"/>
        </w:rPr>
        <w:t>Rahman, R., &amp; Alsharqi, O. Z. (2019). What drove the health system reforms in the Kingdom of Saudi Arabia? An analysis. </w:t>
      </w:r>
      <w:r w:rsidRPr="008E6874">
        <w:rPr>
          <w:i/>
          <w:iCs/>
          <w:color w:val="222222"/>
          <w:shd w:val="clear" w:color="auto" w:fill="FFFFFF"/>
        </w:rPr>
        <w:t>The International journal of health planning and management</w:t>
      </w:r>
      <w:r w:rsidRPr="008E6874">
        <w:rPr>
          <w:color w:val="222222"/>
          <w:shd w:val="clear" w:color="auto" w:fill="FFFFFF"/>
        </w:rPr>
        <w:t>, </w:t>
      </w:r>
      <w:r w:rsidRPr="008E6874">
        <w:rPr>
          <w:i/>
          <w:iCs/>
          <w:color w:val="222222"/>
          <w:shd w:val="clear" w:color="auto" w:fill="FFFFFF"/>
        </w:rPr>
        <w:t>34</w:t>
      </w:r>
      <w:r w:rsidRPr="008E6874">
        <w:rPr>
          <w:color w:val="222222"/>
          <w:shd w:val="clear" w:color="auto" w:fill="FFFFFF"/>
        </w:rPr>
        <w:t>(1), 100-110.</w:t>
      </w:r>
    </w:p>
    <w:p w14:paraId="41BB9AFA" w14:textId="46373A4C" w:rsidR="00B00DAC" w:rsidRPr="008E6874" w:rsidRDefault="008E6874" w:rsidP="00152F65">
      <w:pPr>
        <w:spacing w:line="480" w:lineRule="auto"/>
        <w:ind w:left="720" w:hanging="720"/>
      </w:pPr>
      <w:r w:rsidRPr="008E6874">
        <w:rPr>
          <w:color w:val="222222"/>
          <w:shd w:val="clear" w:color="auto" w:fill="FFFFFF"/>
        </w:rPr>
        <w:t>Tyrovolas, S., El Bcheraoui, C., Alghnam, S. A., Alhabib, K. F., Almadi, M. A. H., Al-Raddadi, R. M., ... &amp; Mokdad, A. H. (2020). The burden of disease in Saudi Arabia 1990–2017: results from the Global Burden of Disease Study 2017. </w:t>
      </w:r>
      <w:r w:rsidRPr="008E6874">
        <w:rPr>
          <w:i/>
          <w:iCs/>
          <w:color w:val="222222"/>
          <w:shd w:val="clear" w:color="auto" w:fill="FFFFFF"/>
        </w:rPr>
        <w:t>The Lancet Planetary Health</w:t>
      </w:r>
      <w:r w:rsidRPr="008E6874">
        <w:rPr>
          <w:color w:val="222222"/>
          <w:shd w:val="clear" w:color="auto" w:fill="FFFFFF"/>
        </w:rPr>
        <w:t>, </w:t>
      </w:r>
      <w:r w:rsidRPr="008E6874">
        <w:rPr>
          <w:i/>
          <w:iCs/>
          <w:color w:val="222222"/>
          <w:shd w:val="clear" w:color="auto" w:fill="FFFFFF"/>
        </w:rPr>
        <w:t>4</w:t>
      </w:r>
      <w:r w:rsidRPr="008E6874">
        <w:rPr>
          <w:color w:val="222222"/>
          <w:shd w:val="clear" w:color="auto" w:fill="FFFFFF"/>
        </w:rPr>
        <w:t>(5), e195-e208.</w:t>
      </w:r>
    </w:p>
    <w:sectPr w:rsidR="00B00DAC" w:rsidRPr="008E6874"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8B7A" w14:textId="77777777" w:rsidR="00190254" w:rsidRDefault="00190254">
      <w:r>
        <w:separator/>
      </w:r>
    </w:p>
  </w:endnote>
  <w:endnote w:type="continuationSeparator" w:id="0">
    <w:p w14:paraId="4EC9B3C5" w14:textId="77777777" w:rsidR="00190254" w:rsidRDefault="0019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E405B" w14:textId="77777777" w:rsidR="00190254" w:rsidRDefault="00190254">
      <w:r>
        <w:separator/>
      </w:r>
    </w:p>
  </w:footnote>
  <w:footnote w:type="continuationSeparator" w:id="0">
    <w:p w14:paraId="7BC25D5F" w14:textId="77777777" w:rsidR="00190254" w:rsidRDefault="00190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7913CA" w:rsidRPr="008F1DB2" w:rsidRDefault="007913CA">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190254">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7913CA" w:rsidRDefault="007913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7913CA" w14:paraId="28857256" w14:textId="77777777">
      <w:tc>
        <w:tcPr>
          <w:tcW w:w="5000" w:type="pct"/>
        </w:tcPr>
        <w:p w14:paraId="4DA65DD0" w14:textId="77777777" w:rsidR="007913CA" w:rsidRDefault="007913CA">
          <w:pPr>
            <w:spacing w:line="480" w:lineRule="auto"/>
            <w:contextualSpacing w:val="0"/>
            <w:rPr>
              <w:color w:val="000000"/>
            </w:rPr>
          </w:pPr>
          <w:r>
            <w:rPr>
              <w:color w:val="000000"/>
            </w:rPr>
            <w:t>Running head: GUIDED IMAGERY AND PROGRESSIVE MUSCLE RELAXATION</w:t>
          </w:r>
        </w:p>
        <w:p w14:paraId="0269DDC4" w14:textId="77777777" w:rsidR="007913CA" w:rsidRDefault="007913CA"/>
      </w:tc>
      <w:tc>
        <w:tcPr>
          <w:tcW w:w="0" w:type="pct"/>
        </w:tcPr>
        <w:p w14:paraId="326D5C94" w14:textId="77777777" w:rsidR="007913CA" w:rsidRDefault="007913CA">
          <w:pPr>
            <w:jc w:val="right"/>
          </w:pPr>
          <w:r>
            <w:fldChar w:fldCharType="begin"/>
          </w:r>
          <w:r>
            <w:instrText>PAGE</w:instrText>
          </w:r>
          <w:r>
            <w:fldChar w:fldCharType="separate"/>
          </w:r>
          <w:r>
            <w:rPr>
              <w:noProof/>
            </w:rPr>
            <w:t>2</w:t>
          </w:r>
          <w:r>
            <w:fldChar w:fldCharType="end"/>
          </w:r>
        </w:p>
      </w:tc>
    </w:tr>
  </w:tbl>
  <w:p w14:paraId="22800C2F" w14:textId="77777777" w:rsidR="007913CA" w:rsidRDefault="007913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210"/>
    <w:multiLevelType w:val="hybridMultilevel"/>
    <w:tmpl w:val="A6BE4662"/>
    <w:lvl w:ilvl="0" w:tplc="38D48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AB73D8"/>
    <w:multiLevelType w:val="hybridMultilevel"/>
    <w:tmpl w:val="011E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650BC1"/>
    <w:multiLevelType w:val="hybridMultilevel"/>
    <w:tmpl w:val="4248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23FF"/>
    <w:rsid w:val="00004222"/>
    <w:rsid w:val="00011118"/>
    <w:rsid w:val="000130FA"/>
    <w:rsid w:val="00013BA2"/>
    <w:rsid w:val="000210B3"/>
    <w:rsid w:val="00025D71"/>
    <w:rsid w:val="00027C7B"/>
    <w:rsid w:val="000337E7"/>
    <w:rsid w:val="000432A2"/>
    <w:rsid w:val="0005435D"/>
    <w:rsid w:val="00054E75"/>
    <w:rsid w:val="00057F20"/>
    <w:rsid w:val="00066259"/>
    <w:rsid w:val="00067D55"/>
    <w:rsid w:val="00075279"/>
    <w:rsid w:val="000779BF"/>
    <w:rsid w:val="000865BE"/>
    <w:rsid w:val="00092C0E"/>
    <w:rsid w:val="00095BDC"/>
    <w:rsid w:val="000A1868"/>
    <w:rsid w:val="000A59AC"/>
    <w:rsid w:val="000A64ED"/>
    <w:rsid w:val="000B103B"/>
    <w:rsid w:val="000B131D"/>
    <w:rsid w:val="000B322E"/>
    <w:rsid w:val="000B6E89"/>
    <w:rsid w:val="000D6D88"/>
    <w:rsid w:val="000E298E"/>
    <w:rsid w:val="000E4FEB"/>
    <w:rsid w:val="000E5907"/>
    <w:rsid w:val="000E7E71"/>
    <w:rsid w:val="000F1934"/>
    <w:rsid w:val="000F4431"/>
    <w:rsid w:val="00107A2D"/>
    <w:rsid w:val="00111A88"/>
    <w:rsid w:val="0011349B"/>
    <w:rsid w:val="0012126F"/>
    <w:rsid w:val="001216B7"/>
    <w:rsid w:val="00123AE6"/>
    <w:rsid w:val="001272E1"/>
    <w:rsid w:val="00127373"/>
    <w:rsid w:val="00134D2A"/>
    <w:rsid w:val="00134F65"/>
    <w:rsid w:val="00136CE2"/>
    <w:rsid w:val="00137AC4"/>
    <w:rsid w:val="00143026"/>
    <w:rsid w:val="00150A8E"/>
    <w:rsid w:val="00152DC5"/>
    <w:rsid w:val="00152F65"/>
    <w:rsid w:val="001548D7"/>
    <w:rsid w:val="00156956"/>
    <w:rsid w:val="001613E8"/>
    <w:rsid w:val="00163BB7"/>
    <w:rsid w:val="00164722"/>
    <w:rsid w:val="001650F8"/>
    <w:rsid w:val="00165B2B"/>
    <w:rsid w:val="00171FF9"/>
    <w:rsid w:val="0017616F"/>
    <w:rsid w:val="001762D8"/>
    <w:rsid w:val="00176FD8"/>
    <w:rsid w:val="001773B3"/>
    <w:rsid w:val="00190254"/>
    <w:rsid w:val="0019028A"/>
    <w:rsid w:val="00190DE7"/>
    <w:rsid w:val="00193121"/>
    <w:rsid w:val="001A03E6"/>
    <w:rsid w:val="001A2650"/>
    <w:rsid w:val="001A4AEE"/>
    <w:rsid w:val="001A653E"/>
    <w:rsid w:val="001B3DF8"/>
    <w:rsid w:val="001B4D02"/>
    <w:rsid w:val="001C20D3"/>
    <w:rsid w:val="001C26CE"/>
    <w:rsid w:val="001C6A27"/>
    <w:rsid w:val="001C7198"/>
    <w:rsid w:val="001D039B"/>
    <w:rsid w:val="001D0C91"/>
    <w:rsid w:val="001D0FC8"/>
    <w:rsid w:val="001D5E4C"/>
    <w:rsid w:val="001E3101"/>
    <w:rsid w:val="001E49FF"/>
    <w:rsid w:val="001F6BA4"/>
    <w:rsid w:val="001F7227"/>
    <w:rsid w:val="0020068E"/>
    <w:rsid w:val="00206D49"/>
    <w:rsid w:val="0021126A"/>
    <w:rsid w:val="00246609"/>
    <w:rsid w:val="00250D97"/>
    <w:rsid w:val="00251BB5"/>
    <w:rsid w:val="00252073"/>
    <w:rsid w:val="002551D3"/>
    <w:rsid w:val="00261446"/>
    <w:rsid w:val="0026530A"/>
    <w:rsid w:val="00271DA6"/>
    <w:rsid w:val="00277D84"/>
    <w:rsid w:val="00285CD1"/>
    <w:rsid w:val="00291063"/>
    <w:rsid w:val="0029473C"/>
    <w:rsid w:val="00295138"/>
    <w:rsid w:val="002A150B"/>
    <w:rsid w:val="002A4067"/>
    <w:rsid w:val="002B14F7"/>
    <w:rsid w:val="002B57AD"/>
    <w:rsid w:val="002B60B5"/>
    <w:rsid w:val="002D4A45"/>
    <w:rsid w:val="002D4D4C"/>
    <w:rsid w:val="002E2810"/>
    <w:rsid w:val="002E5FFC"/>
    <w:rsid w:val="002E6422"/>
    <w:rsid w:val="002F472B"/>
    <w:rsid w:val="00301455"/>
    <w:rsid w:val="0030543D"/>
    <w:rsid w:val="003063EC"/>
    <w:rsid w:val="00316229"/>
    <w:rsid w:val="00321041"/>
    <w:rsid w:val="003218F8"/>
    <w:rsid w:val="00323949"/>
    <w:rsid w:val="00331854"/>
    <w:rsid w:val="003325FF"/>
    <w:rsid w:val="00337AC6"/>
    <w:rsid w:val="00340485"/>
    <w:rsid w:val="003404F6"/>
    <w:rsid w:val="0034380B"/>
    <w:rsid w:val="00344659"/>
    <w:rsid w:val="0036076B"/>
    <w:rsid w:val="00361E7C"/>
    <w:rsid w:val="00362C0F"/>
    <w:rsid w:val="00363E43"/>
    <w:rsid w:val="00364B5E"/>
    <w:rsid w:val="00374CDA"/>
    <w:rsid w:val="003759E0"/>
    <w:rsid w:val="00376A61"/>
    <w:rsid w:val="00376D62"/>
    <w:rsid w:val="00383E71"/>
    <w:rsid w:val="0039177D"/>
    <w:rsid w:val="0039226B"/>
    <w:rsid w:val="00397C66"/>
    <w:rsid w:val="003A0C46"/>
    <w:rsid w:val="003A7E97"/>
    <w:rsid w:val="003B12CB"/>
    <w:rsid w:val="003B51AF"/>
    <w:rsid w:val="003B6790"/>
    <w:rsid w:val="003C40E6"/>
    <w:rsid w:val="003C7104"/>
    <w:rsid w:val="003D1073"/>
    <w:rsid w:val="003D1C7A"/>
    <w:rsid w:val="003D2D9E"/>
    <w:rsid w:val="003D3715"/>
    <w:rsid w:val="003D6905"/>
    <w:rsid w:val="003E395C"/>
    <w:rsid w:val="003E586F"/>
    <w:rsid w:val="003E6698"/>
    <w:rsid w:val="003E6B77"/>
    <w:rsid w:val="003E7C1E"/>
    <w:rsid w:val="003F192C"/>
    <w:rsid w:val="003F3DCB"/>
    <w:rsid w:val="003F6870"/>
    <w:rsid w:val="00401014"/>
    <w:rsid w:val="00401464"/>
    <w:rsid w:val="004020A6"/>
    <w:rsid w:val="0040351A"/>
    <w:rsid w:val="00412D95"/>
    <w:rsid w:val="004132C4"/>
    <w:rsid w:val="00414464"/>
    <w:rsid w:val="004220FA"/>
    <w:rsid w:val="00426FDE"/>
    <w:rsid w:val="004277D6"/>
    <w:rsid w:val="00433E5F"/>
    <w:rsid w:val="00437A7B"/>
    <w:rsid w:val="00441C1A"/>
    <w:rsid w:val="00441D42"/>
    <w:rsid w:val="00444F3B"/>
    <w:rsid w:val="00451BDE"/>
    <w:rsid w:val="00453FB6"/>
    <w:rsid w:val="0045723B"/>
    <w:rsid w:val="00465EC7"/>
    <w:rsid w:val="004808FB"/>
    <w:rsid w:val="004870E7"/>
    <w:rsid w:val="0049700D"/>
    <w:rsid w:val="004A1736"/>
    <w:rsid w:val="004A2115"/>
    <w:rsid w:val="004A3D17"/>
    <w:rsid w:val="004A5010"/>
    <w:rsid w:val="004A6FDB"/>
    <w:rsid w:val="004B1235"/>
    <w:rsid w:val="004B1DF7"/>
    <w:rsid w:val="004B470A"/>
    <w:rsid w:val="004B64E0"/>
    <w:rsid w:val="004B65ED"/>
    <w:rsid w:val="004C045A"/>
    <w:rsid w:val="004C0DFB"/>
    <w:rsid w:val="004C5CE5"/>
    <w:rsid w:val="004C7924"/>
    <w:rsid w:val="004D4524"/>
    <w:rsid w:val="004D48D6"/>
    <w:rsid w:val="004D6EAF"/>
    <w:rsid w:val="004D7F7F"/>
    <w:rsid w:val="004E2754"/>
    <w:rsid w:val="004E4D83"/>
    <w:rsid w:val="004E5B8F"/>
    <w:rsid w:val="004F259B"/>
    <w:rsid w:val="00504C84"/>
    <w:rsid w:val="00505855"/>
    <w:rsid w:val="005071E8"/>
    <w:rsid w:val="00507FD3"/>
    <w:rsid w:val="00511B7D"/>
    <w:rsid w:val="00522107"/>
    <w:rsid w:val="005259DD"/>
    <w:rsid w:val="0053041D"/>
    <w:rsid w:val="00531467"/>
    <w:rsid w:val="00535AFC"/>
    <w:rsid w:val="005371C0"/>
    <w:rsid w:val="00542021"/>
    <w:rsid w:val="00542DE9"/>
    <w:rsid w:val="0054722D"/>
    <w:rsid w:val="0055053D"/>
    <w:rsid w:val="00554C5E"/>
    <w:rsid w:val="00554EDB"/>
    <w:rsid w:val="00557041"/>
    <w:rsid w:val="0056316F"/>
    <w:rsid w:val="00567B2F"/>
    <w:rsid w:val="00572992"/>
    <w:rsid w:val="00577E9E"/>
    <w:rsid w:val="0058132F"/>
    <w:rsid w:val="00585688"/>
    <w:rsid w:val="005856FD"/>
    <w:rsid w:val="00590F21"/>
    <w:rsid w:val="0059175F"/>
    <w:rsid w:val="005921C7"/>
    <w:rsid w:val="00592860"/>
    <w:rsid w:val="00592F6E"/>
    <w:rsid w:val="00594D68"/>
    <w:rsid w:val="005A1751"/>
    <w:rsid w:val="005B70EC"/>
    <w:rsid w:val="005C569A"/>
    <w:rsid w:val="005C70ED"/>
    <w:rsid w:val="005D5FED"/>
    <w:rsid w:val="005E30D7"/>
    <w:rsid w:val="005E549E"/>
    <w:rsid w:val="005E7D36"/>
    <w:rsid w:val="005F2DA4"/>
    <w:rsid w:val="005F4614"/>
    <w:rsid w:val="005F4B79"/>
    <w:rsid w:val="005F663E"/>
    <w:rsid w:val="005F76B1"/>
    <w:rsid w:val="006018B8"/>
    <w:rsid w:val="00605549"/>
    <w:rsid w:val="006113D4"/>
    <w:rsid w:val="00612832"/>
    <w:rsid w:val="00613B39"/>
    <w:rsid w:val="00617000"/>
    <w:rsid w:val="0061731A"/>
    <w:rsid w:val="00617377"/>
    <w:rsid w:val="00620A1C"/>
    <w:rsid w:val="00620C02"/>
    <w:rsid w:val="00625AEE"/>
    <w:rsid w:val="00630743"/>
    <w:rsid w:val="00647239"/>
    <w:rsid w:val="0065001F"/>
    <w:rsid w:val="00651695"/>
    <w:rsid w:val="00656B51"/>
    <w:rsid w:val="0067028C"/>
    <w:rsid w:val="006719C2"/>
    <w:rsid w:val="00672657"/>
    <w:rsid w:val="00673858"/>
    <w:rsid w:val="006754B5"/>
    <w:rsid w:val="00685C59"/>
    <w:rsid w:val="006871CA"/>
    <w:rsid w:val="00695B11"/>
    <w:rsid w:val="006A30CA"/>
    <w:rsid w:val="006C07EF"/>
    <w:rsid w:val="006C0BCB"/>
    <w:rsid w:val="006E34D0"/>
    <w:rsid w:val="006F1C41"/>
    <w:rsid w:val="006F7604"/>
    <w:rsid w:val="007041FF"/>
    <w:rsid w:val="0070716A"/>
    <w:rsid w:val="00712E08"/>
    <w:rsid w:val="0071590B"/>
    <w:rsid w:val="00717EBD"/>
    <w:rsid w:val="0072092A"/>
    <w:rsid w:val="00730B0C"/>
    <w:rsid w:val="0073302D"/>
    <w:rsid w:val="00734D66"/>
    <w:rsid w:val="00736F2A"/>
    <w:rsid w:val="00741521"/>
    <w:rsid w:val="00743914"/>
    <w:rsid w:val="007460F2"/>
    <w:rsid w:val="007619CE"/>
    <w:rsid w:val="007634EE"/>
    <w:rsid w:val="00764990"/>
    <w:rsid w:val="00766F7F"/>
    <w:rsid w:val="00774044"/>
    <w:rsid w:val="00774BA3"/>
    <w:rsid w:val="007750F9"/>
    <w:rsid w:val="00776FEE"/>
    <w:rsid w:val="00781C05"/>
    <w:rsid w:val="007913CA"/>
    <w:rsid w:val="00793A0D"/>
    <w:rsid w:val="00797079"/>
    <w:rsid w:val="007A732C"/>
    <w:rsid w:val="007B1411"/>
    <w:rsid w:val="007B64AF"/>
    <w:rsid w:val="007C3654"/>
    <w:rsid w:val="007C4B11"/>
    <w:rsid w:val="007C62DE"/>
    <w:rsid w:val="007C7F30"/>
    <w:rsid w:val="007D17D4"/>
    <w:rsid w:val="007D1C53"/>
    <w:rsid w:val="007D4552"/>
    <w:rsid w:val="007D45C8"/>
    <w:rsid w:val="007D79A0"/>
    <w:rsid w:val="007E2422"/>
    <w:rsid w:val="007F1085"/>
    <w:rsid w:val="007F4362"/>
    <w:rsid w:val="00802151"/>
    <w:rsid w:val="00812557"/>
    <w:rsid w:val="0081397C"/>
    <w:rsid w:val="00822122"/>
    <w:rsid w:val="008263D5"/>
    <w:rsid w:val="00832391"/>
    <w:rsid w:val="00833512"/>
    <w:rsid w:val="00836FCF"/>
    <w:rsid w:val="0084509A"/>
    <w:rsid w:val="00847D67"/>
    <w:rsid w:val="008520F2"/>
    <w:rsid w:val="00852B26"/>
    <w:rsid w:val="008551C2"/>
    <w:rsid w:val="00861A1E"/>
    <w:rsid w:val="00870213"/>
    <w:rsid w:val="008754EF"/>
    <w:rsid w:val="00875BB9"/>
    <w:rsid w:val="008765A9"/>
    <w:rsid w:val="00876D06"/>
    <w:rsid w:val="00882DBF"/>
    <w:rsid w:val="008835DD"/>
    <w:rsid w:val="00883608"/>
    <w:rsid w:val="00886C06"/>
    <w:rsid w:val="008872C0"/>
    <w:rsid w:val="008924BE"/>
    <w:rsid w:val="0089350A"/>
    <w:rsid w:val="008A315C"/>
    <w:rsid w:val="008A4DDF"/>
    <w:rsid w:val="008B01BF"/>
    <w:rsid w:val="008C49A6"/>
    <w:rsid w:val="008C7236"/>
    <w:rsid w:val="008D04BD"/>
    <w:rsid w:val="008D5FAB"/>
    <w:rsid w:val="008E3D00"/>
    <w:rsid w:val="008E6874"/>
    <w:rsid w:val="008F1DB2"/>
    <w:rsid w:val="00901235"/>
    <w:rsid w:val="0090168B"/>
    <w:rsid w:val="00901CA8"/>
    <w:rsid w:val="009067F7"/>
    <w:rsid w:val="009103DF"/>
    <w:rsid w:val="00911C89"/>
    <w:rsid w:val="00915464"/>
    <w:rsid w:val="00917336"/>
    <w:rsid w:val="00931E07"/>
    <w:rsid w:val="00937343"/>
    <w:rsid w:val="00944EEC"/>
    <w:rsid w:val="00956ABD"/>
    <w:rsid w:val="00960298"/>
    <w:rsid w:val="00960AC1"/>
    <w:rsid w:val="00962581"/>
    <w:rsid w:val="00971C16"/>
    <w:rsid w:val="00971CD5"/>
    <w:rsid w:val="0097266C"/>
    <w:rsid w:val="009736F3"/>
    <w:rsid w:val="00980AF5"/>
    <w:rsid w:val="0098400C"/>
    <w:rsid w:val="00992141"/>
    <w:rsid w:val="00992BAB"/>
    <w:rsid w:val="009A4F03"/>
    <w:rsid w:val="009A5144"/>
    <w:rsid w:val="009A64AD"/>
    <w:rsid w:val="009A668C"/>
    <w:rsid w:val="009B2CA9"/>
    <w:rsid w:val="009B4245"/>
    <w:rsid w:val="009B6B4D"/>
    <w:rsid w:val="009D73A9"/>
    <w:rsid w:val="009E3CA0"/>
    <w:rsid w:val="009E6396"/>
    <w:rsid w:val="009E703A"/>
    <w:rsid w:val="009E70D2"/>
    <w:rsid w:val="009F51F9"/>
    <w:rsid w:val="00A02D98"/>
    <w:rsid w:val="00A03083"/>
    <w:rsid w:val="00A04228"/>
    <w:rsid w:val="00A04DB6"/>
    <w:rsid w:val="00A05029"/>
    <w:rsid w:val="00A165FF"/>
    <w:rsid w:val="00A22DA9"/>
    <w:rsid w:val="00A27AEA"/>
    <w:rsid w:val="00A31B06"/>
    <w:rsid w:val="00A34E35"/>
    <w:rsid w:val="00A35E55"/>
    <w:rsid w:val="00A4121D"/>
    <w:rsid w:val="00A451BF"/>
    <w:rsid w:val="00A522D4"/>
    <w:rsid w:val="00A66DE9"/>
    <w:rsid w:val="00A70504"/>
    <w:rsid w:val="00A81A7D"/>
    <w:rsid w:val="00A87414"/>
    <w:rsid w:val="00A87BDE"/>
    <w:rsid w:val="00A87C29"/>
    <w:rsid w:val="00A913B7"/>
    <w:rsid w:val="00A9164E"/>
    <w:rsid w:val="00A916EB"/>
    <w:rsid w:val="00A94D0A"/>
    <w:rsid w:val="00A97D8E"/>
    <w:rsid w:val="00AA02EB"/>
    <w:rsid w:val="00AA3297"/>
    <w:rsid w:val="00AA4DC9"/>
    <w:rsid w:val="00AB16D7"/>
    <w:rsid w:val="00AB62BD"/>
    <w:rsid w:val="00AC0A9D"/>
    <w:rsid w:val="00AC1541"/>
    <w:rsid w:val="00AC184C"/>
    <w:rsid w:val="00AC5C5E"/>
    <w:rsid w:val="00AD2C66"/>
    <w:rsid w:val="00AD717C"/>
    <w:rsid w:val="00AE4464"/>
    <w:rsid w:val="00AF34D7"/>
    <w:rsid w:val="00AF4FDF"/>
    <w:rsid w:val="00B00DAC"/>
    <w:rsid w:val="00B13811"/>
    <w:rsid w:val="00B143E2"/>
    <w:rsid w:val="00B1484D"/>
    <w:rsid w:val="00B2236F"/>
    <w:rsid w:val="00B24311"/>
    <w:rsid w:val="00B2575B"/>
    <w:rsid w:val="00B30FC9"/>
    <w:rsid w:val="00B336B7"/>
    <w:rsid w:val="00B349F0"/>
    <w:rsid w:val="00B34CAF"/>
    <w:rsid w:val="00B42BA2"/>
    <w:rsid w:val="00B473C5"/>
    <w:rsid w:val="00B61288"/>
    <w:rsid w:val="00B635D3"/>
    <w:rsid w:val="00B71B98"/>
    <w:rsid w:val="00B761FA"/>
    <w:rsid w:val="00B77C27"/>
    <w:rsid w:val="00B80432"/>
    <w:rsid w:val="00B82D4D"/>
    <w:rsid w:val="00B83E5E"/>
    <w:rsid w:val="00B84D70"/>
    <w:rsid w:val="00B85DB9"/>
    <w:rsid w:val="00B86C21"/>
    <w:rsid w:val="00B90A25"/>
    <w:rsid w:val="00B91D8D"/>
    <w:rsid w:val="00BB0FB0"/>
    <w:rsid w:val="00BB4484"/>
    <w:rsid w:val="00BB559E"/>
    <w:rsid w:val="00BB7415"/>
    <w:rsid w:val="00BB7835"/>
    <w:rsid w:val="00BC099A"/>
    <w:rsid w:val="00BC59F3"/>
    <w:rsid w:val="00BD13D7"/>
    <w:rsid w:val="00BD1F3D"/>
    <w:rsid w:val="00BD26A5"/>
    <w:rsid w:val="00BE5129"/>
    <w:rsid w:val="00BE7EC8"/>
    <w:rsid w:val="00BF504E"/>
    <w:rsid w:val="00C01603"/>
    <w:rsid w:val="00C13458"/>
    <w:rsid w:val="00C37401"/>
    <w:rsid w:val="00C417C4"/>
    <w:rsid w:val="00C4250C"/>
    <w:rsid w:val="00C44FF4"/>
    <w:rsid w:val="00C51C3D"/>
    <w:rsid w:val="00C54994"/>
    <w:rsid w:val="00C579AE"/>
    <w:rsid w:val="00C66B9B"/>
    <w:rsid w:val="00C7029B"/>
    <w:rsid w:val="00C71C04"/>
    <w:rsid w:val="00C77C9E"/>
    <w:rsid w:val="00C82F50"/>
    <w:rsid w:val="00C9473D"/>
    <w:rsid w:val="00CA4F12"/>
    <w:rsid w:val="00CB311C"/>
    <w:rsid w:val="00CC0514"/>
    <w:rsid w:val="00CC0D48"/>
    <w:rsid w:val="00CC1C27"/>
    <w:rsid w:val="00CC2D50"/>
    <w:rsid w:val="00CC3146"/>
    <w:rsid w:val="00CD1098"/>
    <w:rsid w:val="00CE089B"/>
    <w:rsid w:val="00CE3FD1"/>
    <w:rsid w:val="00CE6530"/>
    <w:rsid w:val="00CE6580"/>
    <w:rsid w:val="00CF5590"/>
    <w:rsid w:val="00D0247B"/>
    <w:rsid w:val="00D121BF"/>
    <w:rsid w:val="00D22C2A"/>
    <w:rsid w:val="00D22C5A"/>
    <w:rsid w:val="00D34297"/>
    <w:rsid w:val="00D34D09"/>
    <w:rsid w:val="00D420DA"/>
    <w:rsid w:val="00D44893"/>
    <w:rsid w:val="00D622C7"/>
    <w:rsid w:val="00D6255F"/>
    <w:rsid w:val="00D632F7"/>
    <w:rsid w:val="00D649B4"/>
    <w:rsid w:val="00D65BB5"/>
    <w:rsid w:val="00D766BC"/>
    <w:rsid w:val="00D77653"/>
    <w:rsid w:val="00D83597"/>
    <w:rsid w:val="00D845A1"/>
    <w:rsid w:val="00D87B7A"/>
    <w:rsid w:val="00D962D7"/>
    <w:rsid w:val="00DA0C82"/>
    <w:rsid w:val="00DA7587"/>
    <w:rsid w:val="00DB1480"/>
    <w:rsid w:val="00DB31AB"/>
    <w:rsid w:val="00DB3F17"/>
    <w:rsid w:val="00DB41EE"/>
    <w:rsid w:val="00DB6BA0"/>
    <w:rsid w:val="00DB6C4E"/>
    <w:rsid w:val="00DC0D18"/>
    <w:rsid w:val="00DC7178"/>
    <w:rsid w:val="00DD17F7"/>
    <w:rsid w:val="00DD3230"/>
    <w:rsid w:val="00DD4369"/>
    <w:rsid w:val="00DD492B"/>
    <w:rsid w:val="00DD6013"/>
    <w:rsid w:val="00DD696A"/>
    <w:rsid w:val="00DD7152"/>
    <w:rsid w:val="00DD7B64"/>
    <w:rsid w:val="00DE2E8C"/>
    <w:rsid w:val="00DE612D"/>
    <w:rsid w:val="00DF2830"/>
    <w:rsid w:val="00DF5192"/>
    <w:rsid w:val="00DF6D56"/>
    <w:rsid w:val="00E01209"/>
    <w:rsid w:val="00E07278"/>
    <w:rsid w:val="00E13C95"/>
    <w:rsid w:val="00E14CC4"/>
    <w:rsid w:val="00E16C23"/>
    <w:rsid w:val="00E2495A"/>
    <w:rsid w:val="00E25035"/>
    <w:rsid w:val="00E34D25"/>
    <w:rsid w:val="00E5450A"/>
    <w:rsid w:val="00E54AEC"/>
    <w:rsid w:val="00E56639"/>
    <w:rsid w:val="00E56905"/>
    <w:rsid w:val="00E65033"/>
    <w:rsid w:val="00E65FCE"/>
    <w:rsid w:val="00E707D1"/>
    <w:rsid w:val="00E7483F"/>
    <w:rsid w:val="00E80025"/>
    <w:rsid w:val="00E80C07"/>
    <w:rsid w:val="00E81BE0"/>
    <w:rsid w:val="00E879B9"/>
    <w:rsid w:val="00E908A6"/>
    <w:rsid w:val="00E92404"/>
    <w:rsid w:val="00E9699F"/>
    <w:rsid w:val="00E97BB2"/>
    <w:rsid w:val="00EA7676"/>
    <w:rsid w:val="00EB138F"/>
    <w:rsid w:val="00EB6BEB"/>
    <w:rsid w:val="00EC0741"/>
    <w:rsid w:val="00EC1812"/>
    <w:rsid w:val="00EC4AEB"/>
    <w:rsid w:val="00ED3C4E"/>
    <w:rsid w:val="00EE0218"/>
    <w:rsid w:val="00EE2840"/>
    <w:rsid w:val="00EE44C1"/>
    <w:rsid w:val="00EE6A5E"/>
    <w:rsid w:val="00EF215A"/>
    <w:rsid w:val="00EF5BBF"/>
    <w:rsid w:val="00EF779D"/>
    <w:rsid w:val="00F00B48"/>
    <w:rsid w:val="00F05146"/>
    <w:rsid w:val="00F112F6"/>
    <w:rsid w:val="00F13D41"/>
    <w:rsid w:val="00F22EC5"/>
    <w:rsid w:val="00F24507"/>
    <w:rsid w:val="00F351F2"/>
    <w:rsid w:val="00F366B2"/>
    <w:rsid w:val="00F46374"/>
    <w:rsid w:val="00F47D73"/>
    <w:rsid w:val="00F544CA"/>
    <w:rsid w:val="00F54ED0"/>
    <w:rsid w:val="00F610DC"/>
    <w:rsid w:val="00F61B84"/>
    <w:rsid w:val="00F63D34"/>
    <w:rsid w:val="00F84622"/>
    <w:rsid w:val="00F85682"/>
    <w:rsid w:val="00F857E5"/>
    <w:rsid w:val="00F9404D"/>
    <w:rsid w:val="00FA3941"/>
    <w:rsid w:val="00FA3E80"/>
    <w:rsid w:val="00FA41A3"/>
    <w:rsid w:val="00FA5614"/>
    <w:rsid w:val="00FA6B6D"/>
    <w:rsid w:val="00FB3F85"/>
    <w:rsid w:val="00FB7A19"/>
    <w:rsid w:val="00FC287D"/>
    <w:rsid w:val="00FC38D3"/>
    <w:rsid w:val="00FD3129"/>
    <w:rsid w:val="00FD589E"/>
    <w:rsid w:val="00FE1DE1"/>
    <w:rsid w:val="00FE5953"/>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582">
      <w:bodyDiv w:val="1"/>
      <w:marLeft w:val="0"/>
      <w:marRight w:val="0"/>
      <w:marTop w:val="0"/>
      <w:marBottom w:val="0"/>
      <w:divBdr>
        <w:top w:val="none" w:sz="0" w:space="0" w:color="auto"/>
        <w:left w:val="none" w:sz="0" w:space="0" w:color="auto"/>
        <w:bottom w:val="none" w:sz="0" w:space="0" w:color="auto"/>
        <w:right w:val="none" w:sz="0" w:space="0" w:color="auto"/>
      </w:divBdr>
    </w:div>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239487289">
      <w:bodyDiv w:val="1"/>
      <w:marLeft w:val="0"/>
      <w:marRight w:val="0"/>
      <w:marTop w:val="0"/>
      <w:marBottom w:val="0"/>
      <w:divBdr>
        <w:top w:val="none" w:sz="0" w:space="0" w:color="auto"/>
        <w:left w:val="none" w:sz="0" w:space="0" w:color="auto"/>
        <w:bottom w:val="none" w:sz="0" w:space="0" w:color="auto"/>
        <w:right w:val="none" w:sz="0" w:space="0" w:color="auto"/>
      </w:divBdr>
    </w:div>
    <w:div w:id="345864478">
      <w:bodyDiv w:val="1"/>
      <w:marLeft w:val="0"/>
      <w:marRight w:val="0"/>
      <w:marTop w:val="0"/>
      <w:marBottom w:val="0"/>
      <w:divBdr>
        <w:top w:val="none" w:sz="0" w:space="0" w:color="auto"/>
        <w:left w:val="none" w:sz="0" w:space="0" w:color="auto"/>
        <w:bottom w:val="none" w:sz="0" w:space="0" w:color="auto"/>
        <w:right w:val="none" w:sz="0" w:space="0" w:color="auto"/>
      </w:divBdr>
    </w:div>
    <w:div w:id="50863715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663120895">
      <w:bodyDiv w:val="1"/>
      <w:marLeft w:val="0"/>
      <w:marRight w:val="0"/>
      <w:marTop w:val="0"/>
      <w:marBottom w:val="0"/>
      <w:divBdr>
        <w:top w:val="none" w:sz="0" w:space="0" w:color="auto"/>
        <w:left w:val="none" w:sz="0" w:space="0" w:color="auto"/>
        <w:bottom w:val="none" w:sz="0" w:space="0" w:color="auto"/>
        <w:right w:val="none" w:sz="0" w:space="0" w:color="auto"/>
      </w:divBdr>
    </w:div>
    <w:div w:id="682829483">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755437237">
      <w:bodyDiv w:val="1"/>
      <w:marLeft w:val="0"/>
      <w:marRight w:val="0"/>
      <w:marTop w:val="0"/>
      <w:marBottom w:val="0"/>
      <w:divBdr>
        <w:top w:val="none" w:sz="0" w:space="0" w:color="auto"/>
        <w:left w:val="none" w:sz="0" w:space="0" w:color="auto"/>
        <w:bottom w:val="none" w:sz="0" w:space="0" w:color="auto"/>
        <w:right w:val="none" w:sz="0" w:space="0" w:color="auto"/>
      </w:divBdr>
    </w:div>
    <w:div w:id="838689198">
      <w:bodyDiv w:val="1"/>
      <w:marLeft w:val="0"/>
      <w:marRight w:val="0"/>
      <w:marTop w:val="0"/>
      <w:marBottom w:val="0"/>
      <w:divBdr>
        <w:top w:val="none" w:sz="0" w:space="0" w:color="auto"/>
        <w:left w:val="none" w:sz="0" w:space="0" w:color="auto"/>
        <w:bottom w:val="none" w:sz="0" w:space="0" w:color="auto"/>
        <w:right w:val="none" w:sz="0" w:space="0" w:color="auto"/>
      </w:divBdr>
    </w:div>
    <w:div w:id="917792894">
      <w:bodyDiv w:val="1"/>
      <w:marLeft w:val="0"/>
      <w:marRight w:val="0"/>
      <w:marTop w:val="0"/>
      <w:marBottom w:val="0"/>
      <w:divBdr>
        <w:top w:val="none" w:sz="0" w:space="0" w:color="auto"/>
        <w:left w:val="none" w:sz="0" w:space="0" w:color="auto"/>
        <w:bottom w:val="none" w:sz="0" w:space="0" w:color="auto"/>
        <w:right w:val="none" w:sz="0" w:space="0" w:color="auto"/>
      </w:divBdr>
    </w:div>
    <w:div w:id="938415809">
      <w:bodyDiv w:val="1"/>
      <w:marLeft w:val="0"/>
      <w:marRight w:val="0"/>
      <w:marTop w:val="0"/>
      <w:marBottom w:val="0"/>
      <w:divBdr>
        <w:top w:val="none" w:sz="0" w:space="0" w:color="auto"/>
        <w:left w:val="none" w:sz="0" w:space="0" w:color="auto"/>
        <w:bottom w:val="none" w:sz="0" w:space="0" w:color="auto"/>
        <w:right w:val="none" w:sz="0" w:space="0" w:color="auto"/>
      </w:divBdr>
    </w:div>
    <w:div w:id="1061171028">
      <w:bodyDiv w:val="1"/>
      <w:marLeft w:val="0"/>
      <w:marRight w:val="0"/>
      <w:marTop w:val="0"/>
      <w:marBottom w:val="0"/>
      <w:divBdr>
        <w:top w:val="none" w:sz="0" w:space="0" w:color="auto"/>
        <w:left w:val="none" w:sz="0" w:space="0" w:color="auto"/>
        <w:bottom w:val="none" w:sz="0" w:space="0" w:color="auto"/>
        <w:right w:val="none" w:sz="0" w:space="0" w:color="auto"/>
      </w:divBdr>
    </w:div>
    <w:div w:id="1349016484">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779365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315794992">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1512455297">
      <w:bodyDiv w:val="1"/>
      <w:marLeft w:val="0"/>
      <w:marRight w:val="0"/>
      <w:marTop w:val="0"/>
      <w:marBottom w:val="0"/>
      <w:divBdr>
        <w:top w:val="none" w:sz="0" w:space="0" w:color="auto"/>
        <w:left w:val="none" w:sz="0" w:space="0" w:color="auto"/>
        <w:bottom w:val="none" w:sz="0" w:space="0" w:color="auto"/>
        <w:right w:val="none" w:sz="0" w:space="0" w:color="auto"/>
      </w:divBdr>
    </w:div>
    <w:div w:id="1839806091">
      <w:bodyDiv w:val="1"/>
      <w:marLeft w:val="0"/>
      <w:marRight w:val="0"/>
      <w:marTop w:val="0"/>
      <w:marBottom w:val="0"/>
      <w:divBdr>
        <w:top w:val="none" w:sz="0" w:space="0" w:color="auto"/>
        <w:left w:val="none" w:sz="0" w:space="0" w:color="auto"/>
        <w:bottom w:val="none" w:sz="0" w:space="0" w:color="auto"/>
        <w:right w:val="none" w:sz="0" w:space="0" w:color="auto"/>
      </w:divBdr>
    </w:div>
    <w:div w:id="1952123466">
      <w:bodyDiv w:val="1"/>
      <w:marLeft w:val="0"/>
      <w:marRight w:val="0"/>
      <w:marTop w:val="0"/>
      <w:marBottom w:val="0"/>
      <w:divBdr>
        <w:top w:val="none" w:sz="0" w:space="0" w:color="auto"/>
        <w:left w:val="none" w:sz="0" w:space="0" w:color="auto"/>
        <w:bottom w:val="none" w:sz="0" w:space="0" w:color="auto"/>
        <w:right w:val="none" w:sz="0" w:space="0" w:color="auto"/>
      </w:divBdr>
    </w:div>
    <w:div w:id="2016422807">
      <w:bodyDiv w:val="1"/>
      <w:marLeft w:val="0"/>
      <w:marRight w:val="0"/>
      <w:marTop w:val="0"/>
      <w:marBottom w:val="0"/>
      <w:divBdr>
        <w:top w:val="none" w:sz="0" w:space="0" w:color="auto"/>
        <w:left w:val="none" w:sz="0" w:space="0" w:color="auto"/>
        <w:bottom w:val="none" w:sz="0" w:space="0" w:color="auto"/>
        <w:right w:val="none" w:sz="0" w:space="0" w:color="auto"/>
      </w:divBdr>
    </w:div>
    <w:div w:id="2034375079">
      <w:bodyDiv w:val="1"/>
      <w:marLeft w:val="0"/>
      <w:marRight w:val="0"/>
      <w:marTop w:val="0"/>
      <w:marBottom w:val="0"/>
      <w:divBdr>
        <w:top w:val="none" w:sz="0" w:space="0" w:color="auto"/>
        <w:left w:val="none" w:sz="0" w:space="0" w:color="auto"/>
        <w:bottom w:val="none" w:sz="0" w:space="0" w:color="auto"/>
        <w:right w:val="none" w:sz="0" w:space="0" w:color="auto"/>
      </w:divBdr>
    </w:div>
    <w:div w:id="2055305287">
      <w:bodyDiv w:val="1"/>
      <w:marLeft w:val="0"/>
      <w:marRight w:val="0"/>
      <w:marTop w:val="0"/>
      <w:marBottom w:val="0"/>
      <w:divBdr>
        <w:top w:val="none" w:sz="0" w:space="0" w:color="auto"/>
        <w:left w:val="none" w:sz="0" w:space="0" w:color="auto"/>
        <w:bottom w:val="none" w:sz="0" w:space="0" w:color="auto"/>
        <w:right w:val="none" w:sz="0" w:space="0" w:color="auto"/>
      </w:divBdr>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CC7B-54E3-449A-93E8-66A12FF5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7462</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2021-03-15T02:14:00Z</dcterms:created>
  <dcterms:modified xsi:type="dcterms:W3CDTF">2021-03-15T02:14:00Z</dcterms:modified>
</cp:coreProperties>
</file>