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213" w:rsidRDefault="000C0213" w:rsidP="000C0213">
      <w:pPr>
        <w:spacing w:line="480" w:lineRule="auto"/>
        <w:jc w:val="center"/>
        <w:rPr>
          <w:rFonts w:ascii="Times New Roman" w:hAnsi="Times New Roman" w:cs="Times New Roman"/>
          <w:sz w:val="24"/>
          <w:szCs w:val="24"/>
        </w:rPr>
      </w:pPr>
      <w:bookmarkStart w:id="0" w:name="_GoBack"/>
      <w:bookmarkEnd w:id="0"/>
    </w:p>
    <w:p w:rsidR="000C0213" w:rsidRDefault="000C0213" w:rsidP="000C0213">
      <w:pPr>
        <w:spacing w:line="480" w:lineRule="auto"/>
        <w:jc w:val="center"/>
        <w:rPr>
          <w:rFonts w:ascii="Times New Roman" w:hAnsi="Times New Roman" w:cs="Times New Roman"/>
          <w:sz w:val="24"/>
          <w:szCs w:val="24"/>
        </w:rPr>
      </w:pPr>
    </w:p>
    <w:p w:rsidR="000C0213" w:rsidRDefault="000C0213" w:rsidP="000C0213">
      <w:pPr>
        <w:spacing w:line="480" w:lineRule="auto"/>
        <w:jc w:val="center"/>
        <w:rPr>
          <w:rFonts w:ascii="Times New Roman" w:hAnsi="Times New Roman" w:cs="Times New Roman"/>
          <w:sz w:val="24"/>
          <w:szCs w:val="24"/>
        </w:rPr>
      </w:pPr>
    </w:p>
    <w:p w:rsidR="000C0213" w:rsidRDefault="000C0213" w:rsidP="000C0213">
      <w:pPr>
        <w:spacing w:line="480" w:lineRule="auto"/>
        <w:jc w:val="center"/>
        <w:rPr>
          <w:rFonts w:ascii="Times New Roman" w:hAnsi="Times New Roman" w:cs="Times New Roman"/>
          <w:sz w:val="24"/>
          <w:szCs w:val="24"/>
        </w:rPr>
      </w:pPr>
    </w:p>
    <w:p w:rsidR="000C0213" w:rsidRDefault="000C0213" w:rsidP="000C0213">
      <w:pPr>
        <w:spacing w:line="480" w:lineRule="auto"/>
        <w:jc w:val="center"/>
        <w:rPr>
          <w:rFonts w:ascii="Times New Roman" w:hAnsi="Times New Roman" w:cs="Times New Roman"/>
          <w:sz w:val="24"/>
          <w:szCs w:val="24"/>
        </w:rPr>
      </w:pPr>
    </w:p>
    <w:p w:rsidR="000C0213" w:rsidRDefault="000C0213" w:rsidP="000C0213">
      <w:pPr>
        <w:spacing w:line="480" w:lineRule="auto"/>
        <w:jc w:val="center"/>
        <w:rPr>
          <w:rFonts w:ascii="Times New Roman" w:hAnsi="Times New Roman" w:cs="Times New Roman"/>
          <w:sz w:val="24"/>
          <w:szCs w:val="24"/>
        </w:rPr>
      </w:pPr>
    </w:p>
    <w:p w:rsidR="000C0213" w:rsidRDefault="000C0213" w:rsidP="000C0213">
      <w:pPr>
        <w:spacing w:line="480" w:lineRule="auto"/>
        <w:jc w:val="center"/>
        <w:rPr>
          <w:rFonts w:ascii="Times New Roman" w:hAnsi="Times New Roman" w:cs="Times New Roman"/>
          <w:sz w:val="24"/>
          <w:szCs w:val="24"/>
        </w:rPr>
      </w:pPr>
    </w:p>
    <w:p w:rsidR="000C0213" w:rsidRDefault="000C0213" w:rsidP="000C0213">
      <w:pPr>
        <w:spacing w:line="480" w:lineRule="auto"/>
        <w:jc w:val="center"/>
        <w:rPr>
          <w:rFonts w:ascii="Times New Roman" w:hAnsi="Times New Roman" w:cs="Times New Roman"/>
          <w:sz w:val="24"/>
          <w:szCs w:val="24"/>
        </w:rPr>
      </w:pPr>
    </w:p>
    <w:p w:rsidR="00D801C5" w:rsidRPr="000C0213" w:rsidRDefault="00D801C5" w:rsidP="000C0213">
      <w:pPr>
        <w:spacing w:line="480" w:lineRule="auto"/>
        <w:jc w:val="center"/>
        <w:rPr>
          <w:rFonts w:ascii="Times New Roman" w:hAnsi="Times New Roman" w:cs="Times New Roman"/>
          <w:sz w:val="24"/>
          <w:szCs w:val="24"/>
        </w:rPr>
      </w:pPr>
      <w:r w:rsidRPr="000C0213">
        <w:rPr>
          <w:rFonts w:ascii="Times New Roman" w:hAnsi="Times New Roman" w:cs="Times New Roman"/>
          <w:sz w:val="24"/>
          <w:szCs w:val="24"/>
        </w:rPr>
        <w:t>Debt Financing</w:t>
      </w:r>
    </w:p>
    <w:p w:rsidR="00D801C5" w:rsidRPr="000C0213" w:rsidRDefault="00D801C5" w:rsidP="000C0213">
      <w:pPr>
        <w:spacing w:line="480" w:lineRule="auto"/>
        <w:jc w:val="center"/>
        <w:rPr>
          <w:rFonts w:ascii="Times New Roman" w:hAnsi="Times New Roman" w:cs="Times New Roman"/>
          <w:sz w:val="24"/>
          <w:szCs w:val="24"/>
        </w:rPr>
      </w:pPr>
      <w:r w:rsidRPr="000C0213">
        <w:rPr>
          <w:rFonts w:ascii="Times New Roman" w:hAnsi="Times New Roman" w:cs="Times New Roman"/>
          <w:sz w:val="24"/>
          <w:szCs w:val="24"/>
        </w:rPr>
        <w:t>Student’s Name</w:t>
      </w:r>
    </w:p>
    <w:p w:rsidR="00D801C5" w:rsidRPr="000C0213" w:rsidRDefault="00D801C5" w:rsidP="000C0213">
      <w:pPr>
        <w:spacing w:line="480" w:lineRule="auto"/>
        <w:jc w:val="center"/>
        <w:rPr>
          <w:rFonts w:ascii="Times New Roman" w:hAnsi="Times New Roman" w:cs="Times New Roman"/>
          <w:sz w:val="24"/>
          <w:szCs w:val="24"/>
        </w:rPr>
      </w:pPr>
      <w:r w:rsidRPr="000C0213">
        <w:rPr>
          <w:rFonts w:ascii="Times New Roman" w:hAnsi="Times New Roman" w:cs="Times New Roman"/>
          <w:sz w:val="24"/>
          <w:szCs w:val="24"/>
        </w:rPr>
        <w:t>Institutional Affiliation</w:t>
      </w:r>
    </w:p>
    <w:p w:rsidR="00D801C5" w:rsidRPr="000C0213" w:rsidRDefault="00D801C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br w:type="page"/>
      </w:r>
    </w:p>
    <w:p w:rsidR="00D801C5" w:rsidRPr="000C0213" w:rsidRDefault="00D801C5" w:rsidP="000C0213">
      <w:pPr>
        <w:spacing w:line="480" w:lineRule="auto"/>
        <w:jc w:val="center"/>
        <w:rPr>
          <w:rFonts w:ascii="Times New Roman" w:hAnsi="Times New Roman" w:cs="Times New Roman"/>
          <w:sz w:val="24"/>
          <w:szCs w:val="24"/>
        </w:rPr>
      </w:pPr>
      <w:r w:rsidRPr="000C0213">
        <w:rPr>
          <w:rFonts w:ascii="Times New Roman" w:hAnsi="Times New Roman" w:cs="Times New Roman"/>
          <w:sz w:val="24"/>
          <w:szCs w:val="24"/>
        </w:rPr>
        <w:lastRenderedPageBreak/>
        <w:t>Debt Financing</w:t>
      </w:r>
    </w:p>
    <w:p w:rsidR="00D801C5" w:rsidRPr="000C0213" w:rsidRDefault="00D801C5" w:rsidP="0082791A">
      <w:pPr>
        <w:spacing w:line="480" w:lineRule="auto"/>
        <w:jc w:val="center"/>
        <w:rPr>
          <w:rFonts w:ascii="Times New Roman" w:hAnsi="Times New Roman" w:cs="Times New Roman"/>
          <w:b/>
          <w:sz w:val="24"/>
          <w:szCs w:val="24"/>
        </w:rPr>
      </w:pPr>
      <w:r w:rsidRPr="000C0213">
        <w:rPr>
          <w:rFonts w:ascii="Times New Roman" w:hAnsi="Times New Roman" w:cs="Times New Roman"/>
          <w:b/>
          <w:sz w:val="24"/>
          <w:szCs w:val="24"/>
        </w:rPr>
        <w:t>Question 1</w:t>
      </w:r>
    </w:p>
    <w:p w:rsidR="00D801C5" w:rsidRPr="000C0213" w:rsidRDefault="00D801C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ab/>
        <w:t>Debt financing involves the use of money or capital from external sources to facilitate future growth. The borrowed funds are settled at a future date dependent on the agreement upon issuance (</w:t>
      </w:r>
      <w:proofErr w:type="spellStart"/>
      <w:r w:rsidRPr="000C0213">
        <w:rPr>
          <w:rFonts w:ascii="Times New Roman" w:hAnsi="Times New Roman" w:cs="Times New Roman"/>
          <w:sz w:val="24"/>
          <w:szCs w:val="24"/>
        </w:rPr>
        <w:t>Parameswaran</w:t>
      </w:r>
      <w:proofErr w:type="spellEnd"/>
      <w:r w:rsidRPr="000C0213">
        <w:rPr>
          <w:rFonts w:ascii="Times New Roman" w:hAnsi="Times New Roman" w:cs="Times New Roman"/>
          <w:sz w:val="24"/>
          <w:szCs w:val="24"/>
        </w:rPr>
        <w:t>, 2011). The city council has a variety of options to obtain its debt finances, which include bonds or credits that can further be classified into long-term and short term debt options. The city council offsets its debt liabilities through the use of tax revenues, special assessments, and levied fees. The constitution limits the amount of debt its specific city council can obtain.</w:t>
      </w:r>
    </w:p>
    <w:p w:rsidR="00D801C5" w:rsidRPr="000C0213" w:rsidRDefault="005F3894"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ab/>
      </w:r>
      <w:r w:rsidR="00D801C5" w:rsidRPr="000C0213">
        <w:rPr>
          <w:rFonts w:ascii="Times New Roman" w:hAnsi="Times New Roman" w:cs="Times New Roman"/>
          <w:sz w:val="24"/>
          <w:szCs w:val="24"/>
        </w:rPr>
        <w:t>The city council has several options for obtaining its long term debt, which is further classified into general obligation, revenue, or improved district bonds. The general obligation bonds are also broken down into limited or unlimited tax bonds determined by the type of votes and settled by the general revenue funds. Contrary, the revenue bonds are self-supported, which implies that they are offset by the respective project’s revenue (Callahan, 2018). Lastly, the improvement district bonds are used to fund projects such as water and sewer infrastructure, street lights, or underground power supplies, amongst others.</w:t>
      </w:r>
    </w:p>
    <w:p w:rsidR="00D801C5" w:rsidRPr="000C0213" w:rsidRDefault="005F3894"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ab/>
      </w:r>
      <w:r w:rsidR="00D801C5" w:rsidRPr="000C0213">
        <w:rPr>
          <w:rFonts w:ascii="Times New Roman" w:hAnsi="Times New Roman" w:cs="Times New Roman"/>
          <w:sz w:val="24"/>
          <w:szCs w:val="24"/>
        </w:rPr>
        <w:t>The city council should take into consideration several factors in the selection of the most appropriate debt financing options. These factors include the current amount of debt that the municipality holds with respect to the afore-mentioned different types of debt instruments. The amount should be evaluated against the city council’s debt capacity to determine the most viable option. Other factors to consider include the tax debt service fee and interest rates (Callahan, 2018). The general obligation bonds have lower interest rates and flexible payment schedules.</w:t>
      </w:r>
    </w:p>
    <w:p w:rsidR="00D801C5" w:rsidRPr="000C0213" w:rsidRDefault="00A000CD"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lastRenderedPageBreak/>
        <w:tab/>
      </w:r>
      <w:r w:rsidR="00D801C5" w:rsidRPr="000C0213">
        <w:rPr>
          <w:rFonts w:ascii="Times New Roman" w:hAnsi="Times New Roman" w:cs="Times New Roman"/>
          <w:sz w:val="24"/>
          <w:szCs w:val="24"/>
        </w:rPr>
        <w:t xml:space="preserve">Furthermore, the long-term debts have a long maturity period that allows for the spread out of its expenses, which are likely to increase as a measure of improving the predictability of the cash flows. Moreover, the municipal bonds have a call provision that gives the issuer to take advantage of lower interest rates that will allow the city council to redeem the security before its maturity (Callahan, 2018). As a result, the city council will have acquired funds to carry on with the strategic project and realized savings from the early redemption option.  </w:t>
      </w:r>
    </w:p>
    <w:p w:rsidR="00D801C5" w:rsidRPr="000C0213" w:rsidRDefault="004E668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ab/>
      </w:r>
      <w:r w:rsidR="00D801C5" w:rsidRPr="000C0213">
        <w:rPr>
          <w:rFonts w:ascii="Times New Roman" w:hAnsi="Times New Roman" w:cs="Times New Roman"/>
          <w:sz w:val="24"/>
          <w:szCs w:val="24"/>
        </w:rPr>
        <w:t>The long term debt is the viable option of debt financing for the city council’s capital project. The major disadvantage of debt financing is that it increases the value of an asset due to the interest payments. The general obligation debt has a constitutional limit (Callahan, 2018). On the other hand, revenue bonds have higher interest rates and high fee charges. Moreover, revenue bonds are faced with collection problems. On that note, the most viable debt financing option is the use of general obligation debts.</w:t>
      </w:r>
    </w:p>
    <w:p w:rsidR="006F45B8" w:rsidRPr="0082791A" w:rsidRDefault="006F45B8" w:rsidP="0082791A">
      <w:pPr>
        <w:spacing w:line="480" w:lineRule="auto"/>
        <w:jc w:val="center"/>
        <w:rPr>
          <w:rFonts w:ascii="Times New Roman" w:hAnsi="Times New Roman" w:cs="Times New Roman"/>
          <w:b/>
          <w:sz w:val="24"/>
          <w:szCs w:val="24"/>
        </w:rPr>
      </w:pPr>
      <w:r w:rsidRPr="0082791A">
        <w:rPr>
          <w:rFonts w:ascii="Times New Roman" w:hAnsi="Times New Roman" w:cs="Times New Roman"/>
          <w:b/>
          <w:sz w:val="24"/>
          <w:szCs w:val="24"/>
        </w:rPr>
        <w:t>Question 2</w:t>
      </w:r>
    </w:p>
    <w:p w:rsidR="00D801C5" w:rsidRPr="000C0213" w:rsidRDefault="00D801C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The investment’s value is obtained by calculating the present value of the bond (Bartle, 2013).</w:t>
      </w:r>
    </w:p>
    <w:p w:rsidR="006F45B8" w:rsidRPr="000C0213" w:rsidRDefault="00FC0AE2"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Investment’s worth</w:t>
      </w:r>
    </w:p>
    <w:p w:rsidR="00FC0AE2" w:rsidRPr="000C0213" w:rsidRDefault="00FC0AE2"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Face value of 10,000 is equal to 10,000(1+0.06</w:t>
      </w:r>
      <w:proofErr w:type="gramStart"/>
      <w:r w:rsidRPr="000C0213">
        <w:rPr>
          <w:rFonts w:ascii="Times New Roman" w:hAnsi="Times New Roman" w:cs="Times New Roman"/>
          <w:sz w:val="24"/>
          <w:szCs w:val="24"/>
        </w:rPr>
        <w:t>)^</w:t>
      </w:r>
      <w:proofErr w:type="gramEnd"/>
      <w:r w:rsidRPr="000C0213">
        <w:rPr>
          <w:rFonts w:ascii="Times New Roman" w:hAnsi="Times New Roman" w:cs="Times New Roman"/>
          <w:sz w:val="24"/>
          <w:szCs w:val="24"/>
        </w:rPr>
        <w:t>5 = 13,382.26</w:t>
      </w:r>
    </w:p>
    <w:p w:rsidR="00FC0AE2" w:rsidRPr="000C0213" w:rsidRDefault="00FC0AE2"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Periodic cash flow = 13382.26 x 0.06 = 802.93</w:t>
      </w:r>
    </w:p>
    <w:p w:rsidR="00FC0AE2" w:rsidRPr="000C0213" w:rsidRDefault="00F5453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 xml:space="preserve">Present value of interest payment = </w:t>
      </w:r>
      <w:r w:rsidR="00FC0AE2" w:rsidRPr="000C0213">
        <w:rPr>
          <w:rFonts w:ascii="Times New Roman" w:hAnsi="Times New Roman" w:cs="Times New Roman"/>
          <w:sz w:val="24"/>
          <w:szCs w:val="24"/>
        </w:rPr>
        <w:t>802.93(1-(1+0.06)^-5)/0.06</w:t>
      </w:r>
      <w:r w:rsidRPr="000C0213">
        <w:rPr>
          <w:rFonts w:ascii="Times New Roman" w:hAnsi="Times New Roman" w:cs="Times New Roman"/>
          <w:sz w:val="24"/>
          <w:szCs w:val="24"/>
        </w:rPr>
        <w:t xml:space="preserve"> = 3382.23</w:t>
      </w:r>
    </w:p>
    <w:p w:rsidR="00F54535" w:rsidRPr="000C0213" w:rsidRDefault="00F5453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Investment worth = 10,000 +3382.23</w:t>
      </w:r>
    </w:p>
    <w:p w:rsidR="00F54535" w:rsidRPr="000C0213" w:rsidRDefault="00F5453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ab/>
      </w:r>
      <w:r w:rsidRPr="000C0213">
        <w:rPr>
          <w:rFonts w:ascii="Times New Roman" w:hAnsi="Times New Roman" w:cs="Times New Roman"/>
          <w:sz w:val="24"/>
          <w:szCs w:val="24"/>
        </w:rPr>
        <w:tab/>
      </w:r>
      <w:r w:rsidRPr="000C0213">
        <w:rPr>
          <w:rFonts w:ascii="Times New Roman" w:hAnsi="Times New Roman" w:cs="Times New Roman"/>
          <w:sz w:val="24"/>
          <w:szCs w:val="24"/>
        </w:rPr>
        <w:tab/>
        <w:t>= $13382.23</w:t>
      </w:r>
    </w:p>
    <w:p w:rsidR="000C0213" w:rsidRPr="000C0213" w:rsidRDefault="000C0213"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br w:type="page"/>
      </w:r>
    </w:p>
    <w:p w:rsidR="00D801C5" w:rsidRPr="000C0213" w:rsidRDefault="00D801C5" w:rsidP="000C0213">
      <w:pPr>
        <w:spacing w:line="480" w:lineRule="auto"/>
        <w:jc w:val="center"/>
        <w:rPr>
          <w:rFonts w:ascii="Times New Roman" w:hAnsi="Times New Roman" w:cs="Times New Roman"/>
          <w:sz w:val="24"/>
          <w:szCs w:val="24"/>
        </w:rPr>
      </w:pPr>
      <w:r w:rsidRPr="000C0213">
        <w:rPr>
          <w:rFonts w:ascii="Times New Roman" w:hAnsi="Times New Roman" w:cs="Times New Roman"/>
          <w:sz w:val="24"/>
          <w:szCs w:val="24"/>
        </w:rPr>
        <w:lastRenderedPageBreak/>
        <w:t>Reference</w:t>
      </w:r>
    </w:p>
    <w:p w:rsidR="00D801C5" w:rsidRPr="000C0213" w:rsidRDefault="00D801C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Bartle, J. (2013). Management Policies in Local Government Finance. USA: ICMA</w:t>
      </w:r>
    </w:p>
    <w:p w:rsidR="00D801C5" w:rsidRPr="000C0213" w:rsidRDefault="00D801C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 xml:space="preserve">Callahan, P. (2018). Municipal Debt Financing: Two Options. Retrieved from </w:t>
      </w:r>
      <w:r w:rsidR="0082791A">
        <w:rPr>
          <w:rFonts w:ascii="Times New Roman" w:hAnsi="Times New Roman" w:cs="Times New Roman"/>
          <w:sz w:val="24"/>
          <w:szCs w:val="24"/>
        </w:rPr>
        <w:tab/>
      </w:r>
      <w:hyperlink r:id="rId7" w:history="1">
        <w:r w:rsidRPr="000C0213">
          <w:rPr>
            <w:rStyle w:val="Hyperlink"/>
            <w:rFonts w:ascii="Times New Roman" w:hAnsi="Times New Roman" w:cs="Times New Roman"/>
            <w:color w:val="auto"/>
            <w:sz w:val="24"/>
            <w:szCs w:val="24"/>
          </w:rPr>
          <w:t>https://www.extension.iastate.edu/communities/files/page/files/patrick_-</w:t>
        </w:r>
        <w:r w:rsidR="00015545" w:rsidRPr="00015545">
          <w:rPr>
            <w:rStyle w:val="Hyperlink"/>
            <w:rFonts w:ascii="Times New Roman" w:hAnsi="Times New Roman" w:cs="Times New Roman"/>
            <w:color w:val="auto"/>
            <w:sz w:val="24"/>
            <w:szCs w:val="24"/>
            <w:u w:val="none"/>
          </w:rPr>
          <w:tab/>
        </w:r>
        <w:r w:rsidRPr="000C0213">
          <w:rPr>
            <w:rStyle w:val="Hyperlink"/>
            <w:rFonts w:ascii="Times New Roman" w:hAnsi="Times New Roman" w:cs="Times New Roman"/>
            <w:color w:val="auto"/>
            <w:sz w:val="24"/>
            <w:szCs w:val="24"/>
          </w:rPr>
          <w:t>municipal_debt_-_utility_1.pdf</w:t>
        </w:r>
      </w:hyperlink>
    </w:p>
    <w:p w:rsidR="00D801C5" w:rsidRPr="000C0213" w:rsidRDefault="00D801C5" w:rsidP="000C0213">
      <w:pPr>
        <w:spacing w:line="480" w:lineRule="auto"/>
        <w:rPr>
          <w:rFonts w:ascii="Times New Roman" w:hAnsi="Times New Roman" w:cs="Times New Roman"/>
          <w:sz w:val="24"/>
          <w:szCs w:val="24"/>
        </w:rPr>
      </w:pPr>
      <w:proofErr w:type="spellStart"/>
      <w:r w:rsidRPr="000C0213">
        <w:rPr>
          <w:rFonts w:ascii="Times New Roman" w:hAnsi="Times New Roman" w:cs="Times New Roman"/>
          <w:sz w:val="24"/>
          <w:szCs w:val="24"/>
        </w:rPr>
        <w:t>Parameswaran</w:t>
      </w:r>
      <w:proofErr w:type="spellEnd"/>
      <w:r w:rsidRPr="000C0213">
        <w:rPr>
          <w:rFonts w:ascii="Times New Roman" w:hAnsi="Times New Roman" w:cs="Times New Roman"/>
          <w:sz w:val="24"/>
          <w:szCs w:val="24"/>
        </w:rPr>
        <w:t xml:space="preserve">, S. (2011). </w:t>
      </w:r>
      <w:r w:rsidRPr="000C0213">
        <w:rPr>
          <w:rFonts w:ascii="Times New Roman" w:hAnsi="Times New Roman" w:cs="Times New Roman"/>
          <w:i/>
          <w:sz w:val="24"/>
          <w:szCs w:val="24"/>
        </w:rPr>
        <w:t xml:space="preserve">Fundamentals of financial instruments: Stocks, bonds, foreign </w:t>
      </w:r>
      <w:r w:rsidRPr="000C0213">
        <w:rPr>
          <w:rFonts w:ascii="Times New Roman" w:hAnsi="Times New Roman" w:cs="Times New Roman"/>
          <w:i/>
          <w:sz w:val="24"/>
          <w:szCs w:val="24"/>
        </w:rPr>
        <w:tab/>
        <w:t>exchange, and derivatives</w:t>
      </w:r>
      <w:r w:rsidRPr="000C0213">
        <w:rPr>
          <w:rFonts w:ascii="Times New Roman" w:hAnsi="Times New Roman" w:cs="Times New Roman"/>
          <w:sz w:val="24"/>
          <w:szCs w:val="24"/>
        </w:rPr>
        <w:t>. Hoboken, NJ: John Wiley &amp; Sons.</w:t>
      </w:r>
    </w:p>
    <w:p w:rsidR="00D801C5" w:rsidRPr="000C0213" w:rsidRDefault="00D801C5" w:rsidP="000C0213">
      <w:pPr>
        <w:spacing w:line="480" w:lineRule="auto"/>
        <w:rPr>
          <w:rFonts w:ascii="Times New Roman" w:hAnsi="Times New Roman" w:cs="Times New Roman"/>
          <w:sz w:val="24"/>
          <w:szCs w:val="24"/>
        </w:rPr>
      </w:pPr>
      <w:r w:rsidRPr="000C0213">
        <w:rPr>
          <w:rFonts w:ascii="Times New Roman" w:hAnsi="Times New Roman" w:cs="Times New Roman"/>
          <w:sz w:val="24"/>
          <w:szCs w:val="24"/>
        </w:rPr>
        <w:t xml:space="preserve"> </w:t>
      </w:r>
    </w:p>
    <w:p w:rsidR="00D801C5" w:rsidRPr="000C0213" w:rsidRDefault="00D801C5" w:rsidP="000C0213">
      <w:pPr>
        <w:spacing w:line="480" w:lineRule="auto"/>
        <w:rPr>
          <w:rFonts w:ascii="Times New Roman" w:hAnsi="Times New Roman" w:cs="Times New Roman"/>
          <w:sz w:val="24"/>
          <w:szCs w:val="24"/>
        </w:rPr>
      </w:pPr>
    </w:p>
    <w:p w:rsidR="00F54535" w:rsidRPr="000C0213" w:rsidRDefault="00F54535" w:rsidP="000C0213">
      <w:pPr>
        <w:spacing w:line="480" w:lineRule="auto"/>
        <w:rPr>
          <w:rFonts w:ascii="Times New Roman" w:hAnsi="Times New Roman" w:cs="Times New Roman"/>
          <w:sz w:val="24"/>
          <w:szCs w:val="24"/>
        </w:rPr>
      </w:pPr>
    </w:p>
    <w:p w:rsidR="00FC0AE2" w:rsidRPr="000C0213" w:rsidRDefault="00FC0AE2" w:rsidP="000C0213">
      <w:pPr>
        <w:spacing w:line="480" w:lineRule="auto"/>
        <w:rPr>
          <w:rFonts w:ascii="Times New Roman" w:hAnsi="Times New Roman" w:cs="Times New Roman"/>
          <w:sz w:val="24"/>
          <w:szCs w:val="24"/>
        </w:rPr>
      </w:pPr>
    </w:p>
    <w:p w:rsidR="006F45B8" w:rsidRPr="000C0213" w:rsidRDefault="006F45B8" w:rsidP="000C0213">
      <w:pPr>
        <w:spacing w:line="480" w:lineRule="auto"/>
        <w:rPr>
          <w:rFonts w:ascii="Times New Roman" w:hAnsi="Times New Roman" w:cs="Times New Roman"/>
          <w:sz w:val="24"/>
          <w:szCs w:val="24"/>
        </w:rPr>
      </w:pPr>
    </w:p>
    <w:p w:rsidR="006F45B8" w:rsidRPr="000C0213" w:rsidRDefault="006F45B8" w:rsidP="000C0213">
      <w:pPr>
        <w:spacing w:line="480" w:lineRule="auto"/>
        <w:rPr>
          <w:rFonts w:ascii="Times New Roman" w:hAnsi="Times New Roman" w:cs="Times New Roman"/>
          <w:sz w:val="24"/>
          <w:szCs w:val="24"/>
        </w:rPr>
      </w:pPr>
    </w:p>
    <w:sectPr w:rsidR="006F45B8" w:rsidRPr="000C0213" w:rsidSect="00D801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54C" w:rsidRDefault="00B9454C" w:rsidP="00D801C5">
      <w:pPr>
        <w:spacing w:after="0" w:line="240" w:lineRule="auto"/>
      </w:pPr>
      <w:r>
        <w:separator/>
      </w:r>
    </w:p>
  </w:endnote>
  <w:endnote w:type="continuationSeparator" w:id="0">
    <w:p w:rsidR="00B9454C" w:rsidRDefault="00B9454C" w:rsidP="00D8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54C" w:rsidRDefault="00B9454C" w:rsidP="00D801C5">
      <w:pPr>
        <w:spacing w:after="0" w:line="240" w:lineRule="auto"/>
      </w:pPr>
      <w:r>
        <w:separator/>
      </w:r>
    </w:p>
  </w:footnote>
  <w:footnote w:type="continuationSeparator" w:id="0">
    <w:p w:rsidR="00B9454C" w:rsidRDefault="00B9454C" w:rsidP="00D801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1C5" w:rsidRPr="00D801C5" w:rsidRDefault="00D801C5" w:rsidP="00D801C5">
    <w:pPr>
      <w:pStyle w:val="Header"/>
      <w:jc w:val="right"/>
      <w:rPr>
        <w:rFonts w:ascii="Times New Roman" w:hAnsi="Times New Roman" w:cs="Times New Roman"/>
        <w:sz w:val="24"/>
        <w:szCs w:val="24"/>
      </w:rPr>
    </w:pPr>
    <w:r w:rsidRPr="00D801C5">
      <w:rPr>
        <w:rFonts w:ascii="Times New Roman" w:hAnsi="Times New Roman" w:cs="Times New Roman"/>
        <w:sz w:val="24"/>
        <w:szCs w:val="24"/>
      </w:rPr>
      <w:t>DEBT FINANCING</w:t>
    </w:r>
    <w:r w:rsidRPr="00D801C5">
      <w:rPr>
        <w:rFonts w:ascii="Times New Roman" w:hAnsi="Times New Roman" w:cs="Times New Roman"/>
        <w:sz w:val="24"/>
        <w:szCs w:val="24"/>
      </w:rPr>
      <w:tab/>
    </w:r>
    <w:r w:rsidRPr="00D801C5">
      <w:rPr>
        <w:rFonts w:ascii="Times New Roman" w:hAnsi="Times New Roman" w:cs="Times New Roman"/>
        <w:sz w:val="24"/>
        <w:szCs w:val="24"/>
      </w:rPr>
      <w:tab/>
    </w:r>
    <w:sdt>
      <w:sdtPr>
        <w:rPr>
          <w:rFonts w:ascii="Times New Roman" w:hAnsi="Times New Roman" w:cs="Times New Roman"/>
          <w:sz w:val="24"/>
          <w:szCs w:val="24"/>
        </w:rPr>
        <w:id w:val="-2082048529"/>
        <w:docPartObj>
          <w:docPartGallery w:val="Page Numbers (Top of Page)"/>
          <w:docPartUnique/>
        </w:docPartObj>
      </w:sdtPr>
      <w:sdtEndPr>
        <w:rPr>
          <w:noProof/>
        </w:rPr>
      </w:sdtEndPr>
      <w:sdtContent>
        <w:r w:rsidRPr="00D801C5">
          <w:rPr>
            <w:rFonts w:ascii="Times New Roman" w:hAnsi="Times New Roman" w:cs="Times New Roman"/>
            <w:sz w:val="24"/>
            <w:szCs w:val="24"/>
          </w:rPr>
          <w:fldChar w:fldCharType="begin"/>
        </w:r>
        <w:r w:rsidRPr="00D801C5">
          <w:rPr>
            <w:rFonts w:ascii="Times New Roman" w:hAnsi="Times New Roman" w:cs="Times New Roman"/>
            <w:sz w:val="24"/>
            <w:szCs w:val="24"/>
          </w:rPr>
          <w:instrText xml:space="preserve"> PAGE   \* MERGEFORMAT </w:instrText>
        </w:r>
        <w:r w:rsidRPr="00D801C5">
          <w:rPr>
            <w:rFonts w:ascii="Times New Roman" w:hAnsi="Times New Roman" w:cs="Times New Roman"/>
            <w:sz w:val="24"/>
            <w:szCs w:val="24"/>
          </w:rPr>
          <w:fldChar w:fldCharType="separate"/>
        </w:r>
        <w:r w:rsidR="0001754E">
          <w:rPr>
            <w:rFonts w:ascii="Times New Roman" w:hAnsi="Times New Roman" w:cs="Times New Roman"/>
            <w:noProof/>
            <w:sz w:val="24"/>
            <w:szCs w:val="24"/>
          </w:rPr>
          <w:t>4</w:t>
        </w:r>
        <w:r w:rsidRPr="00D801C5">
          <w:rPr>
            <w:rFonts w:ascii="Times New Roman" w:hAnsi="Times New Roman" w:cs="Times New Roman"/>
            <w:noProof/>
            <w:sz w:val="24"/>
            <w:szCs w:val="24"/>
          </w:rPr>
          <w:fldChar w:fldCharType="end"/>
        </w:r>
      </w:sdtContent>
    </w:sdt>
  </w:p>
  <w:p w:rsidR="00D801C5" w:rsidRPr="00D801C5" w:rsidRDefault="00D801C5" w:rsidP="00D801C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1C5" w:rsidRPr="00D801C5" w:rsidRDefault="00D801C5" w:rsidP="00D801C5">
    <w:pPr>
      <w:pStyle w:val="Header"/>
      <w:jc w:val="right"/>
      <w:rPr>
        <w:rFonts w:ascii="Times New Roman" w:hAnsi="Times New Roman" w:cs="Times New Roman"/>
        <w:sz w:val="24"/>
        <w:szCs w:val="24"/>
      </w:rPr>
    </w:pPr>
    <w:r w:rsidRPr="00D801C5">
      <w:rPr>
        <w:rFonts w:ascii="Times New Roman" w:hAnsi="Times New Roman" w:cs="Times New Roman"/>
        <w:sz w:val="24"/>
        <w:szCs w:val="24"/>
      </w:rPr>
      <w:t>Running head: DEBT FINANCING</w:t>
    </w:r>
    <w:r w:rsidRPr="00D801C5">
      <w:rPr>
        <w:rFonts w:ascii="Times New Roman" w:hAnsi="Times New Roman" w:cs="Times New Roman"/>
        <w:sz w:val="24"/>
        <w:szCs w:val="24"/>
      </w:rPr>
      <w:tab/>
    </w:r>
    <w:r w:rsidRPr="00D801C5">
      <w:rPr>
        <w:rFonts w:ascii="Times New Roman" w:hAnsi="Times New Roman" w:cs="Times New Roman"/>
        <w:sz w:val="24"/>
        <w:szCs w:val="24"/>
      </w:rPr>
      <w:tab/>
    </w:r>
    <w:sdt>
      <w:sdtPr>
        <w:rPr>
          <w:rFonts w:ascii="Times New Roman" w:hAnsi="Times New Roman" w:cs="Times New Roman"/>
          <w:sz w:val="24"/>
          <w:szCs w:val="24"/>
        </w:rPr>
        <w:id w:val="-1096093735"/>
        <w:docPartObj>
          <w:docPartGallery w:val="Page Numbers (Top of Page)"/>
          <w:docPartUnique/>
        </w:docPartObj>
      </w:sdtPr>
      <w:sdtEndPr>
        <w:rPr>
          <w:noProof/>
        </w:rPr>
      </w:sdtEndPr>
      <w:sdtContent>
        <w:r w:rsidRPr="00D801C5">
          <w:rPr>
            <w:rFonts w:ascii="Times New Roman" w:hAnsi="Times New Roman" w:cs="Times New Roman"/>
            <w:sz w:val="24"/>
            <w:szCs w:val="24"/>
          </w:rPr>
          <w:fldChar w:fldCharType="begin"/>
        </w:r>
        <w:r w:rsidRPr="00D801C5">
          <w:rPr>
            <w:rFonts w:ascii="Times New Roman" w:hAnsi="Times New Roman" w:cs="Times New Roman"/>
            <w:sz w:val="24"/>
            <w:szCs w:val="24"/>
          </w:rPr>
          <w:instrText xml:space="preserve"> PAGE   \* MERGEFORMAT </w:instrText>
        </w:r>
        <w:r w:rsidRPr="00D801C5">
          <w:rPr>
            <w:rFonts w:ascii="Times New Roman" w:hAnsi="Times New Roman" w:cs="Times New Roman"/>
            <w:sz w:val="24"/>
            <w:szCs w:val="24"/>
          </w:rPr>
          <w:fldChar w:fldCharType="separate"/>
        </w:r>
        <w:r w:rsidR="0001754E">
          <w:rPr>
            <w:rFonts w:ascii="Times New Roman" w:hAnsi="Times New Roman" w:cs="Times New Roman"/>
            <w:noProof/>
            <w:sz w:val="24"/>
            <w:szCs w:val="24"/>
          </w:rPr>
          <w:t>1</w:t>
        </w:r>
        <w:r w:rsidRPr="00D801C5">
          <w:rPr>
            <w:rFonts w:ascii="Times New Roman" w:hAnsi="Times New Roman" w:cs="Times New Roman"/>
            <w:noProof/>
            <w:sz w:val="24"/>
            <w:szCs w:val="24"/>
          </w:rPr>
          <w:fldChar w:fldCharType="end"/>
        </w:r>
      </w:sdtContent>
    </w:sdt>
  </w:p>
  <w:p w:rsidR="00D801C5" w:rsidRDefault="00D80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0E9"/>
    <w:rsid w:val="00015545"/>
    <w:rsid w:val="0001754E"/>
    <w:rsid w:val="000C0213"/>
    <w:rsid w:val="004204A6"/>
    <w:rsid w:val="004521AA"/>
    <w:rsid w:val="004E6685"/>
    <w:rsid w:val="005350E9"/>
    <w:rsid w:val="005E2A04"/>
    <w:rsid w:val="005F3894"/>
    <w:rsid w:val="006F45B8"/>
    <w:rsid w:val="007F094C"/>
    <w:rsid w:val="0082791A"/>
    <w:rsid w:val="009F51D0"/>
    <w:rsid w:val="00A000CD"/>
    <w:rsid w:val="00A1697F"/>
    <w:rsid w:val="00A3057E"/>
    <w:rsid w:val="00AE4B31"/>
    <w:rsid w:val="00B9454C"/>
    <w:rsid w:val="00C05F4D"/>
    <w:rsid w:val="00C75BB3"/>
    <w:rsid w:val="00D801C5"/>
    <w:rsid w:val="00E3127E"/>
    <w:rsid w:val="00F54535"/>
    <w:rsid w:val="00FC0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01C5"/>
    <w:rPr>
      <w:color w:val="0000FF"/>
      <w:u w:val="single"/>
    </w:rPr>
  </w:style>
  <w:style w:type="paragraph" w:styleId="Header">
    <w:name w:val="header"/>
    <w:basedOn w:val="Normal"/>
    <w:link w:val="HeaderChar"/>
    <w:uiPriority w:val="99"/>
    <w:unhideWhenUsed/>
    <w:rsid w:val="00D80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1C5"/>
  </w:style>
  <w:style w:type="paragraph" w:styleId="Footer">
    <w:name w:val="footer"/>
    <w:basedOn w:val="Normal"/>
    <w:link w:val="FooterChar"/>
    <w:uiPriority w:val="99"/>
    <w:unhideWhenUsed/>
    <w:rsid w:val="00D80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1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01C5"/>
    <w:rPr>
      <w:color w:val="0000FF"/>
      <w:u w:val="single"/>
    </w:rPr>
  </w:style>
  <w:style w:type="paragraph" w:styleId="Header">
    <w:name w:val="header"/>
    <w:basedOn w:val="Normal"/>
    <w:link w:val="HeaderChar"/>
    <w:uiPriority w:val="99"/>
    <w:unhideWhenUsed/>
    <w:rsid w:val="00D80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1C5"/>
  </w:style>
  <w:style w:type="paragraph" w:styleId="Footer">
    <w:name w:val="footer"/>
    <w:basedOn w:val="Normal"/>
    <w:link w:val="FooterChar"/>
    <w:uiPriority w:val="99"/>
    <w:unhideWhenUsed/>
    <w:rsid w:val="00D80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xtension.iastate.edu/communities/files/page/files/patrick_-_municipal_debt_-_utility_1.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2019-10-23T12:21:00Z</dcterms:created>
  <dcterms:modified xsi:type="dcterms:W3CDTF">2019-10-23T12:21:00Z</dcterms:modified>
</cp:coreProperties>
</file>