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E79D" w14:textId="77777777" w:rsidR="00006BAE" w:rsidRDefault="00DE62FC" w:rsidP="00D768B1">
      <w:pPr>
        <w:jc w:val="center"/>
      </w:pPr>
    </w:p>
    <w:p w14:paraId="55AB14BA" w14:textId="77777777" w:rsidR="00D768B1" w:rsidRDefault="00D768B1" w:rsidP="00D768B1">
      <w:pPr>
        <w:jc w:val="center"/>
      </w:pPr>
    </w:p>
    <w:p w14:paraId="1F47013C" w14:textId="77777777" w:rsidR="00D768B1" w:rsidRDefault="00D768B1" w:rsidP="00D768B1">
      <w:pPr>
        <w:jc w:val="center"/>
      </w:pPr>
    </w:p>
    <w:p w14:paraId="0207103A" w14:textId="77777777" w:rsidR="00D768B1" w:rsidRDefault="00D768B1" w:rsidP="00D768B1">
      <w:pPr>
        <w:jc w:val="center"/>
      </w:pPr>
    </w:p>
    <w:p w14:paraId="640621BD" w14:textId="77777777" w:rsidR="00D768B1" w:rsidRDefault="00D768B1" w:rsidP="00D768B1">
      <w:pPr>
        <w:jc w:val="center"/>
      </w:pPr>
    </w:p>
    <w:p w14:paraId="5A4930FE" w14:textId="77777777" w:rsidR="00D768B1" w:rsidRDefault="00D768B1" w:rsidP="00D768B1">
      <w:pPr>
        <w:jc w:val="center"/>
      </w:pPr>
    </w:p>
    <w:p w14:paraId="44E96F3E" w14:textId="77777777" w:rsidR="00D768B1" w:rsidRDefault="00D768B1" w:rsidP="00D768B1">
      <w:pPr>
        <w:jc w:val="center"/>
      </w:pPr>
    </w:p>
    <w:p w14:paraId="4A5D77BD" w14:textId="77777777" w:rsidR="00D768B1" w:rsidRDefault="00D768B1" w:rsidP="00D768B1">
      <w:pPr>
        <w:jc w:val="center"/>
      </w:pPr>
      <w:r>
        <w:t>Drug Culture in the U.K</w:t>
      </w:r>
    </w:p>
    <w:p w14:paraId="7EC75BCF" w14:textId="77777777" w:rsidR="00D768B1" w:rsidRDefault="00D768B1" w:rsidP="00D768B1">
      <w:pPr>
        <w:jc w:val="center"/>
      </w:pPr>
      <w:r>
        <w:t>Student’s Name</w:t>
      </w:r>
    </w:p>
    <w:p w14:paraId="4119FF59" w14:textId="77777777" w:rsidR="00D768B1" w:rsidRDefault="00D768B1" w:rsidP="00D768B1">
      <w:pPr>
        <w:jc w:val="center"/>
      </w:pPr>
      <w:r>
        <w:t>Institutional Affiliation</w:t>
      </w:r>
    </w:p>
    <w:p w14:paraId="1D65C995" w14:textId="77777777" w:rsidR="00D768B1" w:rsidRDefault="00D768B1" w:rsidP="00D768B1">
      <w:pPr>
        <w:jc w:val="center"/>
      </w:pPr>
      <w:r>
        <w:t>Submission Date</w:t>
      </w:r>
    </w:p>
    <w:p w14:paraId="64F32135" w14:textId="77777777" w:rsidR="00D768B1" w:rsidRDefault="00D768B1">
      <w:r>
        <w:br w:type="page"/>
      </w:r>
    </w:p>
    <w:p w14:paraId="5E4DE46A" w14:textId="77777777" w:rsidR="00D768B1" w:rsidRDefault="00D768B1" w:rsidP="00D768B1">
      <w:pPr>
        <w:jc w:val="center"/>
      </w:pPr>
      <w:r>
        <w:lastRenderedPageBreak/>
        <w:t>Drug Culture in the U.K</w:t>
      </w:r>
    </w:p>
    <w:p w14:paraId="6D40A181" w14:textId="77777777" w:rsidR="00D768B1" w:rsidRDefault="00D768B1" w:rsidP="00D768B1">
      <w:pPr>
        <w:jc w:val="center"/>
        <w:rPr>
          <w:b/>
        </w:rPr>
      </w:pPr>
      <w:r w:rsidRPr="00D768B1">
        <w:rPr>
          <w:b/>
        </w:rPr>
        <w:t>Introduction</w:t>
      </w:r>
    </w:p>
    <w:p w14:paraId="6380BA63" w14:textId="77777777" w:rsidR="00E35B8C" w:rsidRDefault="00ED730C" w:rsidP="00ED730C">
      <w:pPr>
        <w:ind w:firstLine="720"/>
      </w:pPr>
      <w:r>
        <w:t>Culture is the</w:t>
      </w:r>
      <w:r w:rsidR="00BA5843">
        <w:t xml:space="preserve"> way of life of a group of people.</w:t>
      </w:r>
      <w:r w:rsidR="001E521A">
        <w:t xml:space="preserve"> Those who share a culture share common beliefs</w:t>
      </w:r>
      <w:r w:rsidR="007517D1">
        <w:t>, values</w:t>
      </w:r>
      <w:r w:rsidR="001E521A">
        <w:t xml:space="preserve">, customs, traditions, and history. </w:t>
      </w:r>
      <w:r w:rsidR="007517D1">
        <w:t>Just like any other culture, drug culture is the way of life of the people attached to particular drugs.</w:t>
      </w:r>
      <w:r w:rsidR="0095020D">
        <w:t xml:space="preserve"> Those who share a drug culture have shared rules, rituals, ri</w:t>
      </w:r>
      <w:r w:rsidR="00225304">
        <w:t>t</w:t>
      </w:r>
      <w:r w:rsidR="0095020D">
        <w:t>es, dress-code, and language associated with a particular drug that they are using.</w:t>
      </w:r>
      <w:r w:rsidR="00225304">
        <w:t xml:space="preserve"> </w:t>
      </w:r>
      <w:r w:rsidR="00ED50A3">
        <w:t>Drug culture may attach drug use to spiritual, mental, or recreational interests.</w:t>
      </w:r>
      <w:r w:rsidR="00B44A0D">
        <w:t xml:space="preserve"> </w:t>
      </w:r>
      <w:r w:rsidR="002B4E98">
        <w:t>Among teenagers, the drug culture has been romanticized and made appealing such that it determines whether or not a person can be accepted among peers.</w:t>
      </w:r>
      <w:r w:rsidR="002E1BC7">
        <w:t xml:space="preserve"> </w:t>
      </w:r>
      <w:r w:rsidR="00CA1A57">
        <w:t xml:space="preserve">Alcohol adverts do not show the negative side of alcohol but rather displays young, healthy and glamorous people drinking and enjoying life. </w:t>
      </w:r>
      <w:r w:rsidR="002E1BC7">
        <w:t xml:space="preserve">This is a troubling issue all over the world and it has brought problems to the efforts to eliminate illegal drug use around the continent. </w:t>
      </w:r>
    </w:p>
    <w:p w14:paraId="5C7B50CA" w14:textId="77777777" w:rsidR="00D768B1" w:rsidRDefault="002E1BC7" w:rsidP="00ED730C">
      <w:pPr>
        <w:ind w:firstLine="720"/>
      </w:pPr>
      <w:r>
        <w:t>In the U.K, drug culture is growing and if not monitored, may move from bad to worse.</w:t>
      </w:r>
      <w:r w:rsidR="00E669B8">
        <w:t xml:space="preserve"> </w:t>
      </w:r>
      <w:r w:rsidR="00EF637B">
        <w:t xml:space="preserve">The strict drug laws put in place have done little if not nothing to stop the recreational use of both licit and illicit drugs in the U.K. </w:t>
      </w:r>
      <w:r w:rsidR="00B1242D">
        <w:t xml:space="preserve">Drug use in the U.K is mainly associated with music consumption, with the type of music that people listen to determining the type of drug that they use in their drug culture. </w:t>
      </w:r>
      <w:r w:rsidR="00A96A04">
        <w:t>Jazz</w:t>
      </w:r>
      <w:r w:rsidR="00B1242D">
        <w:t xml:space="preserve"> music for instance is mainly associated with heroin</w:t>
      </w:r>
      <w:r w:rsidR="00A96A04">
        <w:t>, cannabis</w:t>
      </w:r>
      <w:r w:rsidR="00B1242D">
        <w:t xml:space="preserve"> and cocaine use making pop culture and drug culture similar in many ways. </w:t>
      </w:r>
      <w:r w:rsidR="009E7B23">
        <w:t xml:space="preserve">Gone are the days when drug use was common during the weekends, currently, drug use in Great Britain has no timeline or timeframe. </w:t>
      </w:r>
      <w:r w:rsidR="00E669B8">
        <w:t>The use of drugs has extended to the workplace where people do drugs as a recreational activity. This has led to the introduction of drug testing in work stations to ensure that workers stay sober during working hours.</w:t>
      </w:r>
      <w:r w:rsidR="000043D8">
        <w:t xml:space="preserve"> </w:t>
      </w:r>
      <w:r w:rsidR="003F5520" w:rsidRPr="003F5520">
        <w:t>In 2017</w:t>
      </w:r>
      <w:r w:rsidR="003F5520">
        <w:t xml:space="preserve"> alone</w:t>
      </w:r>
      <w:r w:rsidR="003F5520" w:rsidRPr="003F5520">
        <w:t>,</w:t>
      </w:r>
      <w:r w:rsidR="003F5520">
        <w:t xml:space="preserve"> Great Britain witnessed</w:t>
      </w:r>
      <w:r w:rsidR="003F5520" w:rsidRPr="003F5520">
        <w:t xml:space="preserve"> 3,284 </w:t>
      </w:r>
      <w:r w:rsidR="003F5520" w:rsidRPr="003F5520">
        <w:lastRenderedPageBreak/>
        <w:t>drug-related deaths</w:t>
      </w:r>
      <w:r w:rsidR="003F5520">
        <w:t xml:space="preserve"> which were caused by the direct consumption of at least one illegal drug.</w:t>
      </w:r>
      <w:r w:rsidR="00BE63FB">
        <w:t xml:space="preserve"> According to the </w:t>
      </w:r>
      <w:r w:rsidR="00BE63FB" w:rsidRPr="00BE63FB">
        <w:t>European Monitoring Centre for Drugs and Drug Addiction (EMCDDA)</w:t>
      </w:r>
      <w:r w:rsidR="00267F25">
        <w:t xml:space="preserve">, </w:t>
      </w:r>
      <w:r w:rsidR="008579D9">
        <w:t>the number of people dying as a result of direct drug use in Great Britain was</w:t>
      </w:r>
      <w:r w:rsidR="00655102">
        <w:t xml:space="preserve"> the highest in the whole of Europe with seventy six deaths per million people</w:t>
      </w:r>
      <w:r w:rsidR="00EA210F">
        <w:t xml:space="preserve"> (Mounteney et al., 2016)</w:t>
      </w:r>
      <w:r w:rsidR="00655102">
        <w:t xml:space="preserve">. </w:t>
      </w:r>
      <w:r w:rsidR="00BE63FB">
        <w:t xml:space="preserve">The most used drugs in the U.K are </w:t>
      </w:r>
      <w:r w:rsidR="00DD6571" w:rsidRPr="00DD6571">
        <w:t>opioids</w:t>
      </w:r>
      <w:r w:rsidR="00DD6571">
        <w:t>, p</w:t>
      </w:r>
      <w:r w:rsidR="00DD6571" w:rsidRPr="00DD6571">
        <w:t>owder</w:t>
      </w:r>
      <w:r w:rsidR="00DD6571">
        <w:t>ed</w:t>
      </w:r>
      <w:r w:rsidR="00DD6571" w:rsidRPr="00DD6571">
        <w:t xml:space="preserve"> cocaine</w:t>
      </w:r>
      <w:r w:rsidR="00DD6571">
        <w:t xml:space="preserve">, </w:t>
      </w:r>
      <w:r w:rsidR="00DD6571" w:rsidRPr="00DD6571">
        <w:t>benzodiazepines</w:t>
      </w:r>
      <w:r w:rsidR="00DD6571">
        <w:t>,</w:t>
      </w:r>
      <w:r w:rsidR="00DD6571" w:rsidRPr="00DD6571">
        <w:t xml:space="preserve"> ecstasy</w:t>
      </w:r>
      <w:r w:rsidR="00DD6571">
        <w:t xml:space="preserve">, </w:t>
      </w:r>
      <w:r w:rsidR="00D97A61">
        <w:t>and ketamine</w:t>
      </w:r>
      <w:r w:rsidR="00DD6571">
        <w:t>.</w:t>
      </w:r>
      <w:r w:rsidR="00D97A61">
        <w:t xml:space="preserve"> Most of the drugs are used by teenagers from the age of fifteen years while ketamine us</w:t>
      </w:r>
      <w:r w:rsidR="00F46BD3">
        <w:t>e is mainly common among adults with cannabis being the most commonly used drug across all ages.</w:t>
      </w:r>
      <w:r w:rsidR="00985483">
        <w:t xml:space="preserve"> </w:t>
      </w:r>
    </w:p>
    <w:p w14:paraId="01D733A6" w14:textId="77777777" w:rsidR="008520F7" w:rsidRDefault="007463CD" w:rsidP="008520F7">
      <w:pPr>
        <w:ind w:firstLine="720"/>
      </w:pPr>
      <w:r>
        <w:t xml:space="preserve">Though clinical </w:t>
      </w:r>
      <w:r w:rsidR="00D161CC">
        <w:t>administration of cocaine, morphine, and heroin with the permission of the home office was</w:t>
      </w:r>
      <w:r>
        <w:t xml:space="preserve"> legalized in the 19</w:t>
      </w:r>
      <w:r w:rsidRPr="007463CD">
        <w:rPr>
          <w:vertAlign w:val="superscript"/>
        </w:rPr>
        <w:t>th</w:t>
      </w:r>
      <w:r>
        <w:t xml:space="preserve"> century, various rules started emerging to monitor and </w:t>
      </w:r>
      <w:r w:rsidR="00F52D87">
        <w:t>moderate the c</w:t>
      </w:r>
      <w:r w:rsidR="003A7F67">
        <w:t>linical</w:t>
      </w:r>
      <w:r w:rsidR="00C9423F">
        <w:t xml:space="preserve"> and non-clinical</w:t>
      </w:r>
      <w:r w:rsidR="003A7F67">
        <w:t xml:space="preserve"> use of such drugs in the U.K. </w:t>
      </w:r>
      <w:r w:rsidR="00D161CC">
        <w:t xml:space="preserve">For instance, </w:t>
      </w:r>
      <w:r w:rsidR="00FC3A84">
        <w:t xml:space="preserve">The 1964 Drugs Prevention of Misuse Act </w:t>
      </w:r>
      <w:r w:rsidR="00185010">
        <w:t>made</w:t>
      </w:r>
      <w:r w:rsidR="00185010" w:rsidRPr="00185010">
        <w:t xml:space="preserve"> it </w:t>
      </w:r>
      <w:r w:rsidR="00185010">
        <w:t>illegal</w:t>
      </w:r>
      <w:r w:rsidR="00185010" w:rsidRPr="00185010">
        <w:t xml:space="preserve"> to </w:t>
      </w:r>
      <w:r w:rsidR="00185010">
        <w:t>import or possess,</w:t>
      </w:r>
      <w:r w:rsidR="00185010" w:rsidRPr="00185010">
        <w:t xml:space="preserve"> except under Home Office license, </w:t>
      </w:r>
      <w:r w:rsidR="00185010">
        <w:t xml:space="preserve">substances like </w:t>
      </w:r>
      <w:r w:rsidR="00185010" w:rsidRPr="00185010">
        <w:t xml:space="preserve">amphetamines, chlorphentermine, pemoline, LSD, </w:t>
      </w:r>
      <w:r w:rsidR="00185010">
        <w:t>psilocybin, mescaline,</w:t>
      </w:r>
      <w:r w:rsidR="00185010" w:rsidRPr="00185010">
        <w:t xml:space="preserve"> bufotenine</w:t>
      </w:r>
      <w:r w:rsidR="00185010">
        <w:t xml:space="preserve"> and their chemically related derivatives. The Act however exempted </w:t>
      </w:r>
      <w:r w:rsidR="00864462">
        <w:t xml:space="preserve">registered doctors, veterinarians, </w:t>
      </w:r>
      <w:r w:rsidR="00864462" w:rsidRPr="00864462">
        <w:t xml:space="preserve">pharmaceutical chemists, </w:t>
      </w:r>
      <w:r w:rsidR="00864462">
        <w:t>retail pharmacists and people</w:t>
      </w:r>
      <w:r w:rsidR="00864462" w:rsidRPr="00864462">
        <w:t xml:space="preserve"> in charge of laboratories </w:t>
      </w:r>
      <w:r w:rsidR="00864462">
        <w:t>dealing</w:t>
      </w:r>
      <w:r w:rsidR="00864462" w:rsidRPr="00864462">
        <w:t xml:space="preserve"> with scientific research and education</w:t>
      </w:r>
      <w:r w:rsidR="00864462">
        <w:t xml:space="preserve"> on drugs from the restrictions</w:t>
      </w:r>
      <w:r w:rsidR="00893CCD">
        <w:t xml:space="preserve"> of use but not of importation of the above drugs</w:t>
      </w:r>
      <w:r w:rsidR="00DB1794">
        <w:t xml:space="preserve"> (Philips, 1973)</w:t>
      </w:r>
      <w:r w:rsidR="00864462">
        <w:t>.</w:t>
      </w:r>
      <w:r w:rsidR="008520F7">
        <w:t xml:space="preserve"> </w:t>
      </w:r>
    </w:p>
    <w:p w14:paraId="37E507C0" w14:textId="77777777" w:rsidR="00A310B1" w:rsidRDefault="008520F7" w:rsidP="000B4BFD">
      <w:pPr>
        <w:ind w:firstLine="720"/>
      </w:pPr>
      <w:r>
        <w:t>T</w:t>
      </w:r>
      <w:r w:rsidR="00D161CC">
        <w:t xml:space="preserve">he 1965 Dangerous Drugs Act grouped different types of drugs and raised the need to control the use of some </w:t>
      </w:r>
      <w:r w:rsidR="002C7C5C">
        <w:t xml:space="preserve">clinically-administered </w:t>
      </w:r>
      <w:r w:rsidR="00D161CC">
        <w:t>drugs considered to be dangerous and highly addictive</w:t>
      </w:r>
      <w:r w:rsidR="0071684E">
        <w:t xml:space="preserve"> (Kamariah, 2019)</w:t>
      </w:r>
      <w:r w:rsidR="00D161CC">
        <w:t>.</w:t>
      </w:r>
      <w:r w:rsidR="00AD471D">
        <w:t xml:space="preserve"> </w:t>
      </w:r>
      <w:r w:rsidR="00AD471D" w:rsidRPr="00AD471D">
        <w:t>Part I of</w:t>
      </w:r>
      <w:r w:rsidR="00AD471D">
        <w:t xml:space="preserve"> </w:t>
      </w:r>
      <w:r w:rsidR="00AD471D" w:rsidRPr="00AD471D">
        <w:t xml:space="preserve">the </w:t>
      </w:r>
      <w:r w:rsidR="00AD471D">
        <w:t xml:space="preserve">Act </w:t>
      </w:r>
      <w:r w:rsidR="00A3378B">
        <w:t>identified</w:t>
      </w:r>
      <w:r w:rsidR="00AD471D" w:rsidRPr="00AD471D">
        <w:t xml:space="preserve"> </w:t>
      </w:r>
      <w:r w:rsidR="00AD471D">
        <w:t>a number of drugs and</w:t>
      </w:r>
      <w:r w:rsidR="00AD471D" w:rsidRPr="00AD471D">
        <w:t xml:space="preserve"> chemi</w:t>
      </w:r>
      <w:r w:rsidR="00AD471D">
        <w:t xml:space="preserve">cal </w:t>
      </w:r>
      <w:r w:rsidR="00AD471D" w:rsidRPr="00AD471D">
        <w:t xml:space="preserve">substances </w:t>
      </w:r>
      <w:r w:rsidR="00AD471D">
        <w:t>whose</w:t>
      </w:r>
      <w:r w:rsidR="00AD471D" w:rsidRPr="00AD471D">
        <w:t xml:space="preserve"> importation and exportation</w:t>
      </w:r>
      <w:r w:rsidR="00AD471D">
        <w:t xml:space="preserve"> were subject to control</w:t>
      </w:r>
      <w:r w:rsidR="00AD471D" w:rsidRPr="00AD471D">
        <w:t xml:space="preserve">. </w:t>
      </w:r>
      <w:r w:rsidR="000669D9">
        <w:t>The list included drugs both in clinical use and others not administered clinically.</w:t>
      </w:r>
      <w:r w:rsidR="00AD471D" w:rsidRPr="00AD471D">
        <w:t xml:space="preserve"> </w:t>
      </w:r>
      <w:r w:rsidR="00A3378B">
        <w:t>It prohibited</w:t>
      </w:r>
      <w:r w:rsidR="00A3378B" w:rsidRPr="00A3378B">
        <w:t>, except under license</w:t>
      </w:r>
      <w:r w:rsidR="00A3378B">
        <w:t xml:space="preserve"> by</w:t>
      </w:r>
      <w:r w:rsidR="00A3378B" w:rsidRPr="00A3378B">
        <w:t xml:space="preserve"> the Home Office, the import</w:t>
      </w:r>
      <w:r w:rsidR="00A3378B">
        <w:t xml:space="preserve">ation </w:t>
      </w:r>
      <w:r w:rsidR="00A3378B" w:rsidRPr="00A3378B">
        <w:t>and export</w:t>
      </w:r>
      <w:r w:rsidR="00A3378B">
        <w:t>ation</w:t>
      </w:r>
      <w:r w:rsidR="00A3378B" w:rsidRPr="00A3378B">
        <w:t xml:space="preserve"> </w:t>
      </w:r>
      <w:r w:rsidR="00A3378B">
        <w:t>of cannabis</w:t>
      </w:r>
      <w:r w:rsidR="00A3378B" w:rsidRPr="00A3378B">
        <w:t xml:space="preserve">, raw opium, coca leaves and </w:t>
      </w:r>
      <w:r w:rsidR="00A3378B" w:rsidRPr="00A3378B">
        <w:lastRenderedPageBreak/>
        <w:t>poppy</w:t>
      </w:r>
      <w:r w:rsidR="00A3378B">
        <w:t xml:space="preserve"> </w:t>
      </w:r>
      <w:r w:rsidR="00A3378B" w:rsidRPr="00A3378B">
        <w:t xml:space="preserve">straw. </w:t>
      </w:r>
      <w:r w:rsidR="00A3378B">
        <w:t xml:space="preserve">Part one, </w:t>
      </w:r>
      <w:r w:rsidR="00A3378B" w:rsidRPr="00A3378B">
        <w:t xml:space="preserve">Section 5 </w:t>
      </w:r>
      <w:r w:rsidR="00A3378B">
        <w:t>of the Act made</w:t>
      </w:r>
      <w:r w:rsidR="00A3378B" w:rsidRPr="00A3378B">
        <w:t xml:space="preserve"> it an offence for inhabitants or managers of buildings</w:t>
      </w:r>
      <w:r w:rsidR="00A3378B">
        <w:t xml:space="preserve"> </w:t>
      </w:r>
      <w:r w:rsidR="00A3378B" w:rsidRPr="00A3378B">
        <w:t xml:space="preserve">to allow </w:t>
      </w:r>
      <w:r w:rsidR="00A3378B">
        <w:t>their</w:t>
      </w:r>
      <w:r w:rsidR="00A3378B" w:rsidRPr="00A3378B">
        <w:t xml:space="preserve"> premises to be </w:t>
      </w:r>
      <w:r w:rsidR="00A3378B">
        <w:t>associated with the smoking or sale of cannabis resin while se</w:t>
      </w:r>
      <w:r w:rsidR="00A3378B" w:rsidRPr="00A3378B">
        <w:t xml:space="preserve">ction 6 </w:t>
      </w:r>
      <w:r w:rsidR="00A3378B">
        <w:t>made</w:t>
      </w:r>
      <w:r w:rsidR="00A3378B" w:rsidRPr="00A3378B">
        <w:t xml:space="preserve"> it an offence, </w:t>
      </w:r>
      <w:r w:rsidR="00A3378B">
        <w:t>except for those licensed</w:t>
      </w:r>
      <w:r w:rsidR="00A3378B" w:rsidRPr="00A3378B">
        <w:t xml:space="preserve">, to </w:t>
      </w:r>
      <w:r w:rsidR="00A3378B">
        <w:t>grow</w:t>
      </w:r>
      <w:r w:rsidR="00A3378B" w:rsidRPr="00A3378B">
        <w:t xml:space="preserve"> the</w:t>
      </w:r>
      <w:r w:rsidR="00A3378B">
        <w:t xml:space="preserve"> cannabis </w:t>
      </w:r>
      <w:r w:rsidR="00972756">
        <w:t xml:space="preserve">plant. However, </w:t>
      </w:r>
      <w:r w:rsidR="00972756" w:rsidRPr="00972756">
        <w:t xml:space="preserve">Part II of the </w:t>
      </w:r>
      <w:r w:rsidR="00972756">
        <w:t>Act</w:t>
      </w:r>
      <w:r w:rsidR="00972756" w:rsidRPr="00972756">
        <w:t xml:space="preserve"> </w:t>
      </w:r>
      <w:r w:rsidR="00972756">
        <w:t>exempted</w:t>
      </w:r>
      <w:r w:rsidR="00972756" w:rsidRPr="00972756">
        <w:t xml:space="preserve"> certain</w:t>
      </w:r>
      <w:r w:rsidR="00972756">
        <w:t xml:space="preserve"> drugs</w:t>
      </w:r>
      <w:r w:rsidR="00972756" w:rsidRPr="00972756">
        <w:t xml:space="preserve"> from </w:t>
      </w:r>
      <w:r w:rsidR="00972756">
        <w:t xml:space="preserve">importation </w:t>
      </w:r>
      <w:r w:rsidR="00972756" w:rsidRPr="00972756">
        <w:t>and exportation</w:t>
      </w:r>
      <w:r w:rsidR="00972756">
        <w:t xml:space="preserve"> controls</w:t>
      </w:r>
      <w:r w:rsidR="00972756" w:rsidRPr="00972756">
        <w:t xml:space="preserve"> </w:t>
      </w:r>
      <w:r w:rsidR="00972756">
        <w:t xml:space="preserve">stating that the drugs were </w:t>
      </w:r>
      <w:r w:rsidR="00972756" w:rsidRPr="00972756">
        <w:t>considered less harmful than</w:t>
      </w:r>
      <w:r w:rsidR="00972756">
        <w:t xml:space="preserve"> </w:t>
      </w:r>
      <w:r w:rsidR="00972756" w:rsidRPr="00972756">
        <w:t xml:space="preserve">those listed in Part </w:t>
      </w:r>
      <w:r w:rsidR="00972756">
        <w:t>I</w:t>
      </w:r>
      <w:r w:rsidR="00972756" w:rsidRPr="00972756">
        <w:t>.</w:t>
      </w:r>
      <w:r w:rsidR="00B90A63">
        <w:t xml:space="preserve"> Part IV of the Act laid down maximum penalties against those who g</w:t>
      </w:r>
      <w:r w:rsidR="0019222A">
        <w:t>o against the rules set in the A</w:t>
      </w:r>
      <w:r w:rsidR="00B90A63">
        <w:t>ct.</w:t>
      </w:r>
      <w:r w:rsidR="000B4BFD">
        <w:t xml:space="preserve"> </w:t>
      </w:r>
      <w:r>
        <w:t>The proceeding Dangerous Drugs Act of 1967 made provisions for the creation of a medical tribunal to study and report cases referred to it by the Home Secretary in case they suspect a breach of the drug-use notification regulations.</w:t>
      </w:r>
      <w:r w:rsidR="005F09F5">
        <w:t xml:space="preserve"> </w:t>
      </w:r>
      <w:r>
        <w:t xml:space="preserve">It </w:t>
      </w:r>
      <w:r w:rsidR="005F09F5">
        <w:t>also stated the circumstances under which a doctor’s authority to use, prescribe or supply drugs listed in the 1965 Act could be withdrawn by the home secretary and the withdrawal procedure</w:t>
      </w:r>
      <w:r w:rsidR="00D87EC9">
        <w:t xml:space="preserve"> (Act, 1967)</w:t>
      </w:r>
      <w:r w:rsidR="00A310B1">
        <w:t>.</w:t>
      </w:r>
      <w:r w:rsidR="000B4BFD">
        <w:t xml:space="preserve"> </w:t>
      </w:r>
    </w:p>
    <w:p w14:paraId="68671D2D" w14:textId="77777777" w:rsidR="00185612" w:rsidRDefault="00C2106E" w:rsidP="00C2106E">
      <w:pPr>
        <w:ind w:firstLine="720"/>
      </w:pPr>
      <w:r>
        <w:t>The Misuse of Drugs Act 1971</w:t>
      </w:r>
      <w:r w:rsidR="0004198F">
        <w:t>was implemen</w:t>
      </w:r>
      <w:r>
        <w:t>ted to prevent the misuse of drugs outside medical grounds.</w:t>
      </w:r>
      <w:r w:rsidR="00755CC4">
        <w:t xml:space="preserve"> It controlled both non-medicinal and medicinal drugs. All drugs subject to this Act are referred to as controlled drugs.</w:t>
      </w:r>
      <w:r w:rsidR="00843652">
        <w:t xml:space="preserve"> This Act criminalizes the unlawful supply,</w:t>
      </w:r>
      <w:r w:rsidR="00843652" w:rsidRPr="00843652">
        <w:t xml:space="preserve"> intent to supply, import or export and unlawful production</w:t>
      </w:r>
      <w:r w:rsidR="00843652">
        <w:t xml:space="preserve"> of the controlled drugs.</w:t>
      </w:r>
      <w:r w:rsidR="00AD03E1">
        <w:t xml:space="preserve"> </w:t>
      </w:r>
      <w:r w:rsidR="000273FA">
        <w:t xml:space="preserve">This Act gives the </w:t>
      </w:r>
      <w:r w:rsidR="006E7DD2">
        <w:t>police</w:t>
      </w:r>
      <w:r w:rsidR="000273FA">
        <w:t xml:space="preserve"> the authority to stop, search and detain people on suspicion that they possess controlled drugs</w:t>
      </w:r>
      <w:r w:rsidR="00A62F46">
        <w:t xml:space="preserve"> (Bradshaw, 1971)</w:t>
      </w:r>
      <w:r w:rsidR="000273FA">
        <w:t>.</w:t>
      </w:r>
      <w:r w:rsidR="006E7DD2">
        <w:t xml:space="preserve"> The Misuse of Drugs Act classified controlled drugs into three categories</w:t>
      </w:r>
      <w:r w:rsidR="00622B19">
        <w:t xml:space="preserve"> of classes A, B and C</w:t>
      </w:r>
      <w:r w:rsidR="004B6A20">
        <w:t xml:space="preserve"> where class A contains the most dangerous drugs</w:t>
      </w:r>
      <w:r w:rsidR="00622B19">
        <w:t xml:space="preserve">. </w:t>
      </w:r>
    </w:p>
    <w:p w14:paraId="56D742AE" w14:textId="77777777" w:rsidR="00C2106E" w:rsidRDefault="00622B19" w:rsidP="00185612">
      <w:pPr>
        <w:pStyle w:val="ListParagraph"/>
        <w:numPr>
          <w:ilvl w:val="0"/>
          <w:numId w:val="1"/>
        </w:numPr>
      </w:pPr>
      <w:r>
        <w:t>Class A drugs include</w:t>
      </w:r>
      <w:r w:rsidR="00937ADE">
        <w:t>s</w:t>
      </w:r>
      <w:r>
        <w:t xml:space="preserve"> </w:t>
      </w:r>
      <w:r w:rsidRPr="00622B19">
        <w:t>cocaine and crack, ecstasy, heroin, LSD, methadone, methamphetamine (crystal meth), fresh and prepared magic mushrooms.</w:t>
      </w:r>
      <w:r>
        <w:t xml:space="preserve"> </w:t>
      </w:r>
    </w:p>
    <w:p w14:paraId="1B25E64E" w14:textId="77777777" w:rsidR="00937ADE" w:rsidRDefault="00185612" w:rsidP="00937ADE">
      <w:pPr>
        <w:pStyle w:val="ListParagraph"/>
        <w:numPr>
          <w:ilvl w:val="0"/>
          <w:numId w:val="1"/>
        </w:numPr>
      </w:pPr>
      <w:r>
        <w:t>Class B drugs include</w:t>
      </w:r>
      <w:r w:rsidR="00937ADE">
        <w:t>s</w:t>
      </w:r>
      <w:r>
        <w:t xml:space="preserve"> </w:t>
      </w:r>
      <w:r w:rsidR="00937ADE" w:rsidRPr="00937ADE">
        <w:t>amphetamine (not methamphetamine), barbiturates, codeine, ketamine, synthetic cannabinoids such as Spice and cannabis</w:t>
      </w:r>
      <w:r w:rsidR="00937ADE">
        <w:t xml:space="preserve">. GBL and </w:t>
      </w:r>
      <w:r w:rsidR="00937ADE">
        <w:lastRenderedPageBreak/>
        <w:t xml:space="preserve">GHB, </w:t>
      </w:r>
      <w:r w:rsidR="00937ADE" w:rsidRPr="00937ADE">
        <w:t>Synthetic</w:t>
      </w:r>
      <w:r w:rsidR="00937ADE">
        <w:t xml:space="preserve"> Cannabinoid Receptor Agonists (</w:t>
      </w:r>
      <w:r w:rsidR="00937ADE" w:rsidRPr="00937ADE">
        <w:t>SCRAs</w:t>
      </w:r>
      <w:r w:rsidR="00937ADE">
        <w:t>), all</w:t>
      </w:r>
      <w:r w:rsidR="00937ADE" w:rsidRPr="00937ADE">
        <w:t xml:space="preserve"> cathinone derivatives, including mephedrone,</w:t>
      </w:r>
      <w:r w:rsidR="00937ADE">
        <w:t xml:space="preserve"> methylone, methedrone and MDPV.</w:t>
      </w:r>
    </w:p>
    <w:p w14:paraId="1800F0B1" w14:textId="77777777" w:rsidR="005806FF" w:rsidRDefault="005806FF" w:rsidP="005806FF">
      <w:pPr>
        <w:pStyle w:val="ListParagraph"/>
        <w:numPr>
          <w:ilvl w:val="0"/>
          <w:numId w:val="1"/>
        </w:numPr>
      </w:pPr>
      <w:r>
        <w:t xml:space="preserve">Class C drugs include </w:t>
      </w:r>
      <w:r w:rsidRPr="005806FF">
        <w:t xml:space="preserve">anabolic steroids, minor </w:t>
      </w:r>
      <w:r w:rsidR="006A7F42" w:rsidRPr="005806FF">
        <w:t>tranquillizers</w:t>
      </w:r>
      <w:r w:rsidRPr="005806FF">
        <w:t xml:space="preserve"> or benzodiazepines, khat and BZP.</w:t>
      </w:r>
    </w:p>
    <w:p w14:paraId="771E6C2C" w14:textId="77777777" w:rsidR="00703519" w:rsidRDefault="00703519" w:rsidP="00703519">
      <w:r>
        <w:t>These drug classifications are still used to date and are subject to constant amendment.</w:t>
      </w:r>
      <w:r w:rsidRPr="00703519">
        <w:t xml:space="preserve"> </w:t>
      </w:r>
      <w:r>
        <w:t>On 15th November 2011, The</w:t>
      </w:r>
      <w:r w:rsidRPr="00703519">
        <w:t xml:space="preserve"> 1971 </w:t>
      </w:r>
      <w:r>
        <w:t xml:space="preserve">Act </w:t>
      </w:r>
      <w:r w:rsidRPr="00703519">
        <w:t>was amended to allow the Home Secretary to place a new psychoactive substance not already controlled as a Class A, B or C drug but causing concerns, under temporary control by invoking a temporary class drug order</w:t>
      </w:r>
      <w:r w:rsidR="001C590B">
        <w:t xml:space="preserve"> (Hill et al., 2014)</w:t>
      </w:r>
      <w:r w:rsidRPr="00703519">
        <w:t>.</w:t>
      </w:r>
      <w:r w:rsidR="006A7F42">
        <w:t xml:space="preserve"> </w:t>
      </w:r>
      <w:r w:rsidR="006A7F42" w:rsidRPr="006A7F42">
        <w:t>Offences committed under the 1971 Act in relation to a temporary class drug are subject to 14 years’ imprisonment and an unlimited fine on indictment</w:t>
      </w:r>
      <w:r w:rsidR="006A7F42">
        <w:t xml:space="preserve"> or </w:t>
      </w:r>
      <w:r w:rsidR="001B7E88">
        <w:t>a 6</w:t>
      </w:r>
      <w:r w:rsidR="006A7F42">
        <w:t>-month</w:t>
      </w:r>
      <w:r w:rsidR="006A7F42" w:rsidRPr="006A7F42">
        <w:t xml:space="preserve"> imprisonment and a £5,000 fine on summary conviction</w:t>
      </w:r>
      <w:r w:rsidR="006A7F42">
        <w:t>.</w:t>
      </w:r>
      <w:r w:rsidR="001B7E88">
        <w:t xml:space="preserve"> Under this Act, m</w:t>
      </w:r>
      <w:r w:rsidR="001B7E88" w:rsidRPr="001B7E88">
        <w:t>aximum sentences differ according to the nature of the offence</w:t>
      </w:r>
      <w:r w:rsidR="001B7E88">
        <w:t>. P</w:t>
      </w:r>
      <w:r w:rsidR="001B7E88" w:rsidRPr="001B7E88">
        <w:t>ossession</w:t>
      </w:r>
      <w:r w:rsidR="001B7E88">
        <w:t xml:space="preserve"> gets a relatively less sentence whereas</w:t>
      </w:r>
      <w:r w:rsidR="001B7E88" w:rsidRPr="001B7E88">
        <w:t xml:space="preserve"> </w:t>
      </w:r>
      <w:r w:rsidR="001B7E88">
        <w:t xml:space="preserve">trafficking, production, or </w:t>
      </w:r>
      <w:r w:rsidR="001B7E88" w:rsidRPr="001B7E88">
        <w:t>allowing premises to be used for producing or supplying drugs</w:t>
      </w:r>
      <w:r w:rsidR="001B7E88">
        <w:t xml:space="preserve"> gets a higher sentence</w:t>
      </w:r>
      <w:r w:rsidR="001B7E88" w:rsidRPr="001B7E88">
        <w:t xml:space="preserve">. </w:t>
      </w:r>
      <w:r w:rsidR="001B7E88">
        <w:t xml:space="preserve">The Sentencing also varies depending on </w:t>
      </w:r>
      <w:r w:rsidR="001B7E88" w:rsidRPr="001B7E88">
        <w:t>how harmful the drug is believed to be.</w:t>
      </w:r>
    </w:p>
    <w:p w14:paraId="6528C4D3" w14:textId="77777777" w:rsidR="008520F7" w:rsidRDefault="00001680" w:rsidP="00081DA2">
      <w:pPr>
        <w:ind w:firstLine="720"/>
      </w:pPr>
      <w:r>
        <w:t>The Drug Trafficking Act 1994 was created to regulate the rising number of black-market trade of illicit substances. The Act made it an offence to sell articles relating to the preparation or use of controlled drugs</w:t>
      </w:r>
      <w:r w:rsidR="00081DA2">
        <w:t xml:space="preserve">. </w:t>
      </w:r>
      <w:r>
        <w:t>The Act</w:t>
      </w:r>
      <w:r w:rsidR="00FE0C14">
        <w:t xml:space="preserve"> also</w:t>
      </w:r>
      <w:r>
        <w:t xml:space="preserve"> allowed t</w:t>
      </w:r>
      <w:r w:rsidR="008B73F1">
        <w:t>h</w:t>
      </w:r>
      <w:r>
        <w:t xml:space="preserve">e seizure of income and </w:t>
      </w:r>
      <w:r w:rsidR="007A693F">
        <w:t>a</w:t>
      </w:r>
      <w:r>
        <w:t>ssets of any individual found guilty of drug trafficking, even if there is no proof that the income and assets are proceeds of drug trafficking</w:t>
      </w:r>
      <w:r w:rsidR="00EA250C">
        <w:t xml:space="preserve"> (Gordon, 1994)</w:t>
      </w:r>
      <w:r>
        <w:t>.</w:t>
      </w:r>
      <w:r w:rsidR="00081DA2">
        <w:t xml:space="preserve"> On </w:t>
      </w:r>
      <w:r w:rsidR="00081DA2" w:rsidRPr="00081DA2">
        <w:t>28 January 2016</w:t>
      </w:r>
      <w:r w:rsidR="00081DA2">
        <w:t>, t</w:t>
      </w:r>
      <w:r w:rsidR="00C82CEE">
        <w:t>he Psychoactive Substan</w:t>
      </w:r>
      <w:r w:rsidR="00081DA2">
        <w:t>ces Act received Royal Assent</w:t>
      </w:r>
      <w:r w:rsidR="00C82CEE">
        <w:t xml:space="preserve">. The act was implemented on 26 May 2016 and applies across the U.K. According to this act, it is an offence to offer to supply, supply, possess the intention to supply, possess, import or export </w:t>
      </w:r>
      <w:r w:rsidR="00C82CEE" w:rsidRPr="00C82CEE">
        <w:t>any substance</w:t>
      </w:r>
      <w:r w:rsidR="00C82CEE">
        <w:t>s</w:t>
      </w:r>
      <w:r w:rsidR="00C82CEE" w:rsidRPr="00C82CEE">
        <w:t xml:space="preserve"> intended for</w:t>
      </w:r>
      <w:r w:rsidR="00C82CEE">
        <w:t xml:space="preserve"> human consumption that are able to produce</w:t>
      </w:r>
      <w:r w:rsidR="00C82CEE" w:rsidRPr="00C82CEE">
        <w:t xml:space="preserve"> a psychoactive effect</w:t>
      </w:r>
      <w:r w:rsidR="00C82CEE">
        <w:t xml:space="preserve">. Any engagement in the above activities will warrant a maximum </w:t>
      </w:r>
      <w:r w:rsidR="00C82CEE">
        <w:lastRenderedPageBreak/>
        <w:t>sentence of seven years</w:t>
      </w:r>
      <w:r w:rsidR="009734D3">
        <w:t xml:space="preserve"> (Hill, 2020)</w:t>
      </w:r>
      <w:r w:rsidR="00C82CEE">
        <w:t>.</w:t>
      </w:r>
      <w:r w:rsidR="00AC6ED5">
        <w:t xml:space="preserve"> The Act however excludes substances like caffeine, tobacco, nicotine, alcohol, </w:t>
      </w:r>
      <w:r w:rsidR="00116A7B">
        <w:t>food,</w:t>
      </w:r>
      <w:r w:rsidR="00AC6ED5">
        <w:t xml:space="preserve"> medical </w:t>
      </w:r>
      <w:r w:rsidR="00116A7B">
        <w:t>products, and controlled drugs regulated by the Misuse of Drugs Act of 1971</w:t>
      </w:r>
      <w:r w:rsidR="00AC6ED5">
        <w:t>from the scope of the offence.</w:t>
      </w:r>
    </w:p>
    <w:p w14:paraId="6813C1C5" w14:textId="77777777" w:rsidR="00706FEC" w:rsidRDefault="00706FEC" w:rsidP="008B73F1">
      <w:pPr>
        <w:ind w:firstLine="720"/>
      </w:pPr>
      <w:r>
        <w:t xml:space="preserve">In 2021, offenders are convicted under the Misuse of Drugs Act of 1971 whereby anyone found in possession of a class A drug is subject to 7years imprisonment plus fine whereas </w:t>
      </w:r>
      <w:r w:rsidR="00192A12">
        <w:t>supply</w:t>
      </w:r>
      <w:r>
        <w:t xml:space="preserve"> of a class A drug is subject to life imprisonment plus fine. </w:t>
      </w:r>
      <w:r w:rsidR="00192A12">
        <w:t>A</w:t>
      </w:r>
      <w:r w:rsidR="00192A12" w:rsidRPr="00192A12">
        <w:t>nyone found in pos</w:t>
      </w:r>
      <w:r w:rsidR="00192A12">
        <w:t>session of a class B drug is subject to 5</w:t>
      </w:r>
      <w:r w:rsidR="00192A12" w:rsidRPr="00192A12">
        <w:t xml:space="preserve">years imprisonment plus </w:t>
      </w:r>
      <w:r w:rsidR="00192A12">
        <w:t>fine whereas supply of a class B drug is subject to 14years imprisonment</w:t>
      </w:r>
      <w:r w:rsidR="00192A12" w:rsidRPr="00192A12">
        <w:t xml:space="preserve"> plus fine</w:t>
      </w:r>
      <w:r w:rsidR="00192A12">
        <w:t>.</w:t>
      </w:r>
      <w:r w:rsidR="007228BC">
        <w:t xml:space="preserve"> </w:t>
      </w:r>
      <w:r w:rsidR="007228BC" w:rsidRPr="007228BC">
        <w:t xml:space="preserve">Anyone </w:t>
      </w:r>
      <w:r w:rsidR="007228BC">
        <w:t>found in possession of a class C drug is subject to 2</w:t>
      </w:r>
      <w:r w:rsidR="007228BC" w:rsidRPr="007228BC">
        <w:t xml:space="preserve">years imprisonment plus </w:t>
      </w:r>
      <w:r w:rsidR="007228BC">
        <w:t>fine whereas supply of a class C</w:t>
      </w:r>
      <w:r w:rsidR="007228BC" w:rsidRPr="007228BC">
        <w:t xml:space="preserve"> drug is subject to 14years imprisonment plus fine.</w:t>
      </w:r>
      <w:r w:rsidR="003A21FF" w:rsidRPr="003A21FF">
        <w:t xml:space="preserve"> Less serious offences are usually </w:t>
      </w:r>
      <w:r w:rsidR="003A21FF">
        <w:t>taken to the</w:t>
      </w:r>
      <w:r w:rsidR="003A21FF" w:rsidRPr="003A21FF">
        <w:t xml:space="preserve"> magistrate</w:t>
      </w:r>
      <w:r w:rsidR="003A21FF">
        <w:t>s’ courts, where sentences cannot exceed 6</w:t>
      </w:r>
      <w:r w:rsidR="003A21FF" w:rsidRPr="003A21FF">
        <w:t>months</w:t>
      </w:r>
      <w:r w:rsidR="003A21FF">
        <w:t xml:space="preserve"> and/or a £5,000 fine, or 3</w:t>
      </w:r>
      <w:r w:rsidR="003A21FF" w:rsidRPr="003A21FF">
        <w:t xml:space="preserve">months and/or a fine. Most drug offenders are convicted of unlawful possession. Although maximum penalties are severe, only around one in five people convicted of possession receive a custodial </w:t>
      </w:r>
      <w:r w:rsidR="003A21FF">
        <w:t>sentence and even fewer</w:t>
      </w:r>
      <w:r w:rsidR="003A21FF" w:rsidRPr="003A21FF">
        <w:t xml:space="preserve"> go to prison, with the majority of fines</w:t>
      </w:r>
      <w:r w:rsidR="003A21FF">
        <w:t xml:space="preserve"> at</w:t>
      </w:r>
      <w:r w:rsidR="003A21FF" w:rsidRPr="003A21FF">
        <w:t xml:space="preserve"> £50 or less</w:t>
      </w:r>
      <w:r w:rsidR="006B5808">
        <w:t xml:space="preserve"> (Jones, 2021)</w:t>
      </w:r>
      <w:r w:rsidR="003A21FF" w:rsidRPr="003A21FF">
        <w:t>.</w:t>
      </w:r>
      <w:r w:rsidR="003A21FF">
        <w:t xml:space="preserve"> </w:t>
      </w:r>
    </w:p>
    <w:p w14:paraId="58FD8AB7" w14:textId="77777777" w:rsidR="005D0683" w:rsidRDefault="007B76E7" w:rsidP="008B73F1">
      <w:pPr>
        <w:ind w:firstLine="720"/>
      </w:pPr>
      <w:r>
        <w:t xml:space="preserve">Amidst all these </w:t>
      </w:r>
      <w:r w:rsidR="00ED443F">
        <w:t>regulations</w:t>
      </w:r>
      <w:r>
        <w:t>, drug culture continues to pose a risk to the sanity of the British as it spreads fast and is hard to control</w:t>
      </w:r>
      <w:r w:rsidR="00DA3DF4">
        <w:t>, especially among the youth</w:t>
      </w:r>
      <w:r>
        <w:t>.</w:t>
      </w:r>
    </w:p>
    <w:p w14:paraId="11BF7AC1" w14:textId="77777777" w:rsidR="005D0683" w:rsidRDefault="005D0683">
      <w:r>
        <w:br w:type="page"/>
      </w:r>
    </w:p>
    <w:p w14:paraId="79D503A5" w14:textId="77777777" w:rsidR="007B76E7" w:rsidRDefault="005D0683" w:rsidP="005D0683">
      <w:pPr>
        <w:jc w:val="center"/>
      </w:pPr>
      <w:r>
        <w:lastRenderedPageBreak/>
        <w:t>References</w:t>
      </w:r>
    </w:p>
    <w:p w14:paraId="7BF9C05B" w14:textId="77777777" w:rsidR="00D87EC9" w:rsidRPr="00D87EC9" w:rsidRDefault="00D87EC9" w:rsidP="00D87EC9">
      <w:pPr>
        <w:ind w:firstLine="720"/>
      </w:pPr>
      <w:r w:rsidRPr="00D87EC9">
        <w:t>Act, D. D. (1967). Dangerous D Regulations (1968); and Dangerous Drugs Regulations (1968).</w:t>
      </w:r>
    </w:p>
    <w:p w14:paraId="37556728" w14:textId="77777777" w:rsidR="006D7367" w:rsidRPr="006D7367" w:rsidRDefault="006D7367" w:rsidP="006D7367">
      <w:pPr>
        <w:ind w:firstLine="720"/>
      </w:pPr>
      <w:r w:rsidRPr="006D7367">
        <w:t xml:space="preserve">Bradshaw, S. (1971). Misuse of Drugs Act 1971. </w:t>
      </w:r>
      <w:r w:rsidRPr="006D7367">
        <w:rPr>
          <w:i/>
          <w:iCs/>
        </w:rPr>
        <w:t>British medical journal</w:t>
      </w:r>
      <w:r w:rsidRPr="006D7367">
        <w:t xml:space="preserve">, </w:t>
      </w:r>
      <w:r w:rsidRPr="006D7367">
        <w:rPr>
          <w:i/>
          <w:iCs/>
        </w:rPr>
        <w:t>4</w:t>
      </w:r>
      <w:r w:rsidRPr="006D7367">
        <w:t>(5783), 363.</w:t>
      </w:r>
    </w:p>
    <w:p w14:paraId="62634C5C" w14:textId="77777777" w:rsidR="00EA250C" w:rsidRPr="00EA250C" w:rsidRDefault="00EA250C" w:rsidP="00EA250C">
      <w:pPr>
        <w:ind w:firstLine="720"/>
      </w:pPr>
      <w:r w:rsidRPr="00EA250C">
        <w:t xml:space="preserve">Gordon, D. R. (1994). </w:t>
      </w:r>
      <w:r w:rsidRPr="00EA250C">
        <w:rPr>
          <w:i/>
          <w:iCs/>
        </w:rPr>
        <w:t>The return of the dangerous classes: Drug prohibition and policy politics</w:t>
      </w:r>
      <w:r w:rsidRPr="00EA250C">
        <w:t>. New York: WW Norton.</w:t>
      </w:r>
    </w:p>
    <w:p w14:paraId="167555AB" w14:textId="77777777" w:rsidR="009734D3" w:rsidRPr="009734D3" w:rsidRDefault="009734D3" w:rsidP="009734D3">
      <w:pPr>
        <w:ind w:firstLine="720"/>
      </w:pPr>
      <w:r w:rsidRPr="009734D3">
        <w:t xml:space="preserve">Hill, R. G. (2020). Understanding the UK psychoactive substances act. </w:t>
      </w:r>
      <w:r w:rsidRPr="009734D3">
        <w:rPr>
          <w:i/>
          <w:iCs/>
        </w:rPr>
        <w:t>British journal of clinical pharmacology</w:t>
      </w:r>
      <w:r w:rsidRPr="009734D3">
        <w:t xml:space="preserve">, </w:t>
      </w:r>
      <w:r w:rsidRPr="009734D3">
        <w:rPr>
          <w:i/>
          <w:iCs/>
        </w:rPr>
        <w:t>86</w:t>
      </w:r>
      <w:r w:rsidRPr="009734D3">
        <w:t>(3), 499-504.</w:t>
      </w:r>
    </w:p>
    <w:p w14:paraId="2E643858" w14:textId="77777777" w:rsidR="001C590B" w:rsidRPr="001C590B" w:rsidRDefault="009734D3" w:rsidP="009734D3">
      <w:pPr>
        <w:ind w:firstLine="720"/>
      </w:pPr>
      <w:r w:rsidRPr="009734D3">
        <w:t xml:space="preserve"> </w:t>
      </w:r>
      <w:r w:rsidR="001C590B" w:rsidRPr="001C590B">
        <w:t xml:space="preserve">Hill, S. L., Harbon, S. C., Coulson, J., Cooper, G. A., Jackson, G., Lupton, D. J., ... &amp; Thomas, S. H. (2014). Methoxetamine toxicity reported to the National Poisons Information Service: clinical characteristics and patterns of enquiries (including the period of the introduction of the UK's first Temporary Class Drug Order). </w:t>
      </w:r>
      <w:r w:rsidR="001C590B" w:rsidRPr="001C590B">
        <w:rPr>
          <w:i/>
          <w:iCs/>
        </w:rPr>
        <w:t>Emergency Medicine Journal</w:t>
      </w:r>
      <w:r w:rsidR="001C590B" w:rsidRPr="001C590B">
        <w:t xml:space="preserve">, </w:t>
      </w:r>
      <w:r w:rsidR="001C590B" w:rsidRPr="001C590B">
        <w:rPr>
          <w:i/>
          <w:iCs/>
        </w:rPr>
        <w:t>31</w:t>
      </w:r>
      <w:r w:rsidR="001C590B" w:rsidRPr="001C590B">
        <w:t>(1), 45-47.</w:t>
      </w:r>
    </w:p>
    <w:p w14:paraId="55D25CC9" w14:textId="77777777" w:rsidR="00E67CF7" w:rsidRPr="00E67CF7" w:rsidRDefault="001C590B" w:rsidP="00E67CF7">
      <w:pPr>
        <w:ind w:firstLine="720"/>
      </w:pPr>
      <w:r w:rsidRPr="001C590B">
        <w:t xml:space="preserve"> </w:t>
      </w:r>
      <w:r w:rsidR="00E67CF7" w:rsidRPr="00E67CF7">
        <w:t xml:space="preserve">Jones, S. (2021). </w:t>
      </w:r>
      <w:r w:rsidR="00E67CF7" w:rsidRPr="00E67CF7">
        <w:rPr>
          <w:i/>
          <w:iCs/>
        </w:rPr>
        <w:t>Criminology</w:t>
      </w:r>
      <w:r w:rsidR="00E67CF7" w:rsidRPr="00E67CF7">
        <w:t>. Oxford University Press.</w:t>
      </w:r>
    </w:p>
    <w:p w14:paraId="023E7C8A" w14:textId="77777777" w:rsidR="0071684E" w:rsidRPr="0071684E" w:rsidRDefault="0071684E" w:rsidP="001C590B">
      <w:pPr>
        <w:ind w:firstLine="720"/>
      </w:pPr>
      <w:r w:rsidRPr="0071684E">
        <w:t xml:space="preserve">Kamariah, M. (2019). Amendments to the Dangerous Drugs Act, 1952. </w:t>
      </w:r>
      <w:r w:rsidRPr="0071684E">
        <w:rPr>
          <w:i/>
          <w:iCs/>
        </w:rPr>
        <w:t>Journal of Malaysian and Comparative Law</w:t>
      </w:r>
      <w:r w:rsidRPr="0071684E">
        <w:t xml:space="preserve">, </w:t>
      </w:r>
      <w:r w:rsidRPr="0071684E">
        <w:rPr>
          <w:i/>
          <w:iCs/>
        </w:rPr>
        <w:t>15</w:t>
      </w:r>
      <w:r w:rsidRPr="0071684E">
        <w:t>, 131-158.</w:t>
      </w:r>
    </w:p>
    <w:p w14:paraId="323C74BA" w14:textId="77777777" w:rsidR="00A82BAA" w:rsidRDefault="0071684E" w:rsidP="0071684E">
      <w:pPr>
        <w:ind w:firstLine="720"/>
      </w:pPr>
      <w:r w:rsidRPr="0071684E">
        <w:t xml:space="preserve"> </w:t>
      </w:r>
      <w:r w:rsidR="00A82BAA" w:rsidRPr="00A82BAA">
        <w:t xml:space="preserve">Mounteney, J., Griffiths, P., Sedefov, R., Noor, A., Vicente, J., &amp; Simon, R. (2016). The drug situation in Europe: an overview of data available on illicit drugs and new psychoactive substances from European monitoring in 2015. </w:t>
      </w:r>
      <w:r w:rsidR="00A82BAA" w:rsidRPr="00A82BAA">
        <w:rPr>
          <w:i/>
          <w:iCs/>
        </w:rPr>
        <w:t>Addiction</w:t>
      </w:r>
      <w:r w:rsidR="00A82BAA" w:rsidRPr="00A82BAA">
        <w:t xml:space="preserve">, </w:t>
      </w:r>
      <w:r w:rsidR="00A82BAA" w:rsidRPr="00A82BAA">
        <w:rPr>
          <w:i/>
          <w:iCs/>
        </w:rPr>
        <w:t>111</w:t>
      </w:r>
      <w:r w:rsidR="00A82BAA" w:rsidRPr="00A82BAA">
        <w:t>(1), 34-48.</w:t>
      </w:r>
    </w:p>
    <w:p w14:paraId="5456DF0F" w14:textId="77777777" w:rsidR="009A5D57" w:rsidRPr="009A5D57" w:rsidRDefault="009A5D57" w:rsidP="009A5D57">
      <w:pPr>
        <w:ind w:firstLine="720"/>
      </w:pPr>
      <w:r w:rsidRPr="009A5D57">
        <w:t xml:space="preserve">Phillips, G. F. (1973). The legal description of cannabis and related substances. </w:t>
      </w:r>
      <w:r w:rsidRPr="009A5D57">
        <w:rPr>
          <w:i/>
          <w:iCs/>
        </w:rPr>
        <w:t>Medicine, Science and the Law</w:t>
      </w:r>
      <w:r w:rsidRPr="009A5D57">
        <w:t xml:space="preserve">, </w:t>
      </w:r>
      <w:r w:rsidRPr="009A5D57">
        <w:rPr>
          <w:i/>
          <w:iCs/>
        </w:rPr>
        <w:t>13</w:t>
      </w:r>
      <w:r w:rsidRPr="009A5D57">
        <w:t>(2), 139-142.</w:t>
      </w:r>
    </w:p>
    <w:p w14:paraId="23B82AFA" w14:textId="77777777" w:rsidR="009A5D57" w:rsidRPr="00A82BAA" w:rsidRDefault="009A5D57" w:rsidP="00A82BAA">
      <w:pPr>
        <w:ind w:firstLine="720"/>
      </w:pPr>
    </w:p>
    <w:p w14:paraId="6B557B34" w14:textId="77777777" w:rsidR="00A82BAA" w:rsidRPr="00D768B1" w:rsidRDefault="00A82BAA" w:rsidP="00A82BAA"/>
    <w:sectPr w:rsidR="00A82BAA" w:rsidRPr="00D768B1" w:rsidSect="00D768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E0AB" w14:textId="77777777" w:rsidR="00DE62FC" w:rsidRDefault="00DE62FC" w:rsidP="00D768B1">
      <w:pPr>
        <w:spacing w:after="0" w:line="240" w:lineRule="auto"/>
      </w:pPr>
      <w:r>
        <w:separator/>
      </w:r>
    </w:p>
  </w:endnote>
  <w:endnote w:type="continuationSeparator" w:id="0">
    <w:p w14:paraId="7EBD2E2E" w14:textId="77777777" w:rsidR="00DE62FC" w:rsidRDefault="00DE62FC" w:rsidP="00D7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25D6" w14:textId="77777777" w:rsidR="00DE62FC" w:rsidRDefault="00DE62FC" w:rsidP="00D768B1">
      <w:pPr>
        <w:spacing w:after="0" w:line="240" w:lineRule="auto"/>
      </w:pPr>
      <w:r>
        <w:separator/>
      </w:r>
    </w:p>
  </w:footnote>
  <w:footnote w:type="continuationSeparator" w:id="0">
    <w:p w14:paraId="61AE9D2E" w14:textId="77777777" w:rsidR="00DE62FC" w:rsidRDefault="00DE62FC" w:rsidP="00D76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59027"/>
      <w:docPartObj>
        <w:docPartGallery w:val="Page Numbers (Top of Page)"/>
        <w:docPartUnique/>
      </w:docPartObj>
    </w:sdtPr>
    <w:sdtEndPr>
      <w:rPr>
        <w:noProof/>
      </w:rPr>
    </w:sdtEndPr>
    <w:sdtContent>
      <w:p w14:paraId="4650F564" w14:textId="77777777" w:rsidR="00D768B1" w:rsidRDefault="00D768B1" w:rsidP="00D768B1">
        <w:pPr>
          <w:pStyle w:val="Header"/>
          <w:tabs>
            <w:tab w:val="left" w:pos="237"/>
          </w:tabs>
        </w:pPr>
        <w:r w:rsidRPr="00D768B1">
          <w:t>DRUG CULTURE IN THE U.K</w:t>
        </w:r>
        <w:r>
          <w:tab/>
        </w:r>
        <w:r>
          <w:tab/>
        </w:r>
        <w:r>
          <w:tab/>
        </w:r>
        <w:r>
          <w:fldChar w:fldCharType="begin"/>
        </w:r>
        <w:r>
          <w:instrText xml:space="preserve"> PAGE   \* MERGEFORMAT </w:instrText>
        </w:r>
        <w:r>
          <w:fldChar w:fldCharType="separate"/>
        </w:r>
        <w:r w:rsidR="007460A1">
          <w:rPr>
            <w:noProof/>
          </w:rPr>
          <w:t>7</w:t>
        </w:r>
        <w:r>
          <w:rPr>
            <w:noProof/>
          </w:rPr>
          <w:fldChar w:fldCharType="end"/>
        </w:r>
      </w:p>
    </w:sdtContent>
  </w:sdt>
  <w:p w14:paraId="2AE2CFE7" w14:textId="77777777" w:rsidR="00D768B1" w:rsidRDefault="00D76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1D3F" w14:textId="77777777" w:rsidR="00D768B1" w:rsidRDefault="00D768B1">
    <w:pPr>
      <w:pStyle w:val="Header"/>
    </w:pPr>
    <w:r>
      <w:t>Running head: DRUG CULTURE IN THE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7B04"/>
    <w:multiLevelType w:val="hybridMultilevel"/>
    <w:tmpl w:val="99CE2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F4"/>
    <w:rsid w:val="00001680"/>
    <w:rsid w:val="000043D8"/>
    <w:rsid w:val="000273FA"/>
    <w:rsid w:val="0004198F"/>
    <w:rsid w:val="000535CF"/>
    <w:rsid w:val="000669D9"/>
    <w:rsid w:val="00081DA2"/>
    <w:rsid w:val="000B4BFD"/>
    <w:rsid w:val="00116A7B"/>
    <w:rsid w:val="00185010"/>
    <w:rsid w:val="00185612"/>
    <w:rsid w:val="0019222A"/>
    <w:rsid w:val="00192A12"/>
    <w:rsid w:val="001B7E88"/>
    <w:rsid w:val="001C590B"/>
    <w:rsid w:val="001E521A"/>
    <w:rsid w:val="00225304"/>
    <w:rsid w:val="00267F25"/>
    <w:rsid w:val="002B4E98"/>
    <w:rsid w:val="002C7C5C"/>
    <w:rsid w:val="002E1BC7"/>
    <w:rsid w:val="003A21FF"/>
    <w:rsid w:val="003A7F67"/>
    <w:rsid w:val="003C591F"/>
    <w:rsid w:val="003D7647"/>
    <w:rsid w:val="003F5520"/>
    <w:rsid w:val="00407F53"/>
    <w:rsid w:val="004B6A20"/>
    <w:rsid w:val="00505EDB"/>
    <w:rsid w:val="00511992"/>
    <w:rsid w:val="005806FF"/>
    <w:rsid w:val="005D0683"/>
    <w:rsid w:val="005F09F5"/>
    <w:rsid w:val="00622B19"/>
    <w:rsid w:val="006427F4"/>
    <w:rsid w:val="00655102"/>
    <w:rsid w:val="00662A15"/>
    <w:rsid w:val="006A7F42"/>
    <w:rsid w:val="006B5808"/>
    <w:rsid w:val="006D7367"/>
    <w:rsid w:val="006D7436"/>
    <w:rsid w:val="006E7DD2"/>
    <w:rsid w:val="00703519"/>
    <w:rsid w:val="00706FEC"/>
    <w:rsid w:val="0071684E"/>
    <w:rsid w:val="007228BC"/>
    <w:rsid w:val="007460A1"/>
    <w:rsid w:val="007463CD"/>
    <w:rsid w:val="007517D1"/>
    <w:rsid w:val="00755CC4"/>
    <w:rsid w:val="007A693F"/>
    <w:rsid w:val="007B76E7"/>
    <w:rsid w:val="00843652"/>
    <w:rsid w:val="008520F7"/>
    <w:rsid w:val="008579D9"/>
    <w:rsid w:val="00864462"/>
    <w:rsid w:val="00893CCD"/>
    <w:rsid w:val="008B73F1"/>
    <w:rsid w:val="00937ADE"/>
    <w:rsid w:val="00944E33"/>
    <w:rsid w:val="00946022"/>
    <w:rsid w:val="0095020D"/>
    <w:rsid w:val="00972756"/>
    <w:rsid w:val="009734D3"/>
    <w:rsid w:val="00985483"/>
    <w:rsid w:val="009A5D57"/>
    <w:rsid w:val="009E7B23"/>
    <w:rsid w:val="00A310B1"/>
    <w:rsid w:val="00A3378B"/>
    <w:rsid w:val="00A62F46"/>
    <w:rsid w:val="00A82BAA"/>
    <w:rsid w:val="00A96A04"/>
    <w:rsid w:val="00AC6ED5"/>
    <w:rsid w:val="00AD03E1"/>
    <w:rsid w:val="00AD471D"/>
    <w:rsid w:val="00B1242D"/>
    <w:rsid w:val="00B27380"/>
    <w:rsid w:val="00B44A0D"/>
    <w:rsid w:val="00B90A63"/>
    <w:rsid w:val="00BA5843"/>
    <w:rsid w:val="00BE63FB"/>
    <w:rsid w:val="00C2106E"/>
    <w:rsid w:val="00C82CEE"/>
    <w:rsid w:val="00C9423F"/>
    <w:rsid w:val="00CA1A57"/>
    <w:rsid w:val="00D161CC"/>
    <w:rsid w:val="00D768B1"/>
    <w:rsid w:val="00D87EC9"/>
    <w:rsid w:val="00D97A61"/>
    <w:rsid w:val="00DA3DF4"/>
    <w:rsid w:val="00DB1794"/>
    <w:rsid w:val="00DD6571"/>
    <w:rsid w:val="00DE62FC"/>
    <w:rsid w:val="00E35B8C"/>
    <w:rsid w:val="00E378BE"/>
    <w:rsid w:val="00E669B8"/>
    <w:rsid w:val="00E67CF7"/>
    <w:rsid w:val="00EA210F"/>
    <w:rsid w:val="00EA250C"/>
    <w:rsid w:val="00EB333E"/>
    <w:rsid w:val="00ED443F"/>
    <w:rsid w:val="00ED50A3"/>
    <w:rsid w:val="00ED730C"/>
    <w:rsid w:val="00EF637B"/>
    <w:rsid w:val="00F46BD3"/>
    <w:rsid w:val="00F52D87"/>
    <w:rsid w:val="00FC3A84"/>
    <w:rsid w:val="00FE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37EE"/>
  <w15:docId w15:val="{23B60264-F7D5-4B20-8A70-BF3D47B1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8B1"/>
  </w:style>
  <w:style w:type="paragraph" w:styleId="Footer">
    <w:name w:val="footer"/>
    <w:basedOn w:val="Normal"/>
    <w:link w:val="FooterChar"/>
    <w:uiPriority w:val="99"/>
    <w:unhideWhenUsed/>
    <w:rsid w:val="00D7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8B1"/>
  </w:style>
  <w:style w:type="paragraph" w:styleId="ListParagraph">
    <w:name w:val="List Paragraph"/>
    <w:basedOn w:val="Normal"/>
    <w:uiPriority w:val="34"/>
    <w:qFormat/>
    <w:rsid w:val="00185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2362">
      <w:bodyDiv w:val="1"/>
      <w:marLeft w:val="0"/>
      <w:marRight w:val="0"/>
      <w:marTop w:val="0"/>
      <w:marBottom w:val="0"/>
      <w:divBdr>
        <w:top w:val="none" w:sz="0" w:space="0" w:color="auto"/>
        <w:left w:val="none" w:sz="0" w:space="0" w:color="auto"/>
        <w:bottom w:val="none" w:sz="0" w:space="0" w:color="auto"/>
        <w:right w:val="none" w:sz="0" w:space="0" w:color="auto"/>
      </w:divBdr>
      <w:divsChild>
        <w:div w:id="1379206414">
          <w:marLeft w:val="0"/>
          <w:marRight w:val="0"/>
          <w:marTop w:val="0"/>
          <w:marBottom w:val="0"/>
          <w:divBdr>
            <w:top w:val="none" w:sz="0" w:space="0" w:color="auto"/>
            <w:left w:val="none" w:sz="0" w:space="0" w:color="auto"/>
            <w:bottom w:val="none" w:sz="0" w:space="0" w:color="auto"/>
            <w:right w:val="none" w:sz="0" w:space="0" w:color="auto"/>
          </w:divBdr>
        </w:div>
      </w:divsChild>
    </w:div>
    <w:div w:id="178932244">
      <w:bodyDiv w:val="1"/>
      <w:marLeft w:val="0"/>
      <w:marRight w:val="0"/>
      <w:marTop w:val="0"/>
      <w:marBottom w:val="0"/>
      <w:divBdr>
        <w:top w:val="none" w:sz="0" w:space="0" w:color="auto"/>
        <w:left w:val="none" w:sz="0" w:space="0" w:color="auto"/>
        <w:bottom w:val="none" w:sz="0" w:space="0" w:color="auto"/>
        <w:right w:val="none" w:sz="0" w:space="0" w:color="auto"/>
      </w:divBdr>
      <w:divsChild>
        <w:div w:id="410078560">
          <w:marLeft w:val="0"/>
          <w:marRight w:val="0"/>
          <w:marTop w:val="0"/>
          <w:marBottom w:val="0"/>
          <w:divBdr>
            <w:top w:val="none" w:sz="0" w:space="0" w:color="auto"/>
            <w:left w:val="none" w:sz="0" w:space="0" w:color="auto"/>
            <w:bottom w:val="none" w:sz="0" w:space="0" w:color="auto"/>
            <w:right w:val="none" w:sz="0" w:space="0" w:color="auto"/>
          </w:divBdr>
        </w:div>
      </w:divsChild>
    </w:div>
    <w:div w:id="209537485">
      <w:bodyDiv w:val="1"/>
      <w:marLeft w:val="0"/>
      <w:marRight w:val="0"/>
      <w:marTop w:val="0"/>
      <w:marBottom w:val="0"/>
      <w:divBdr>
        <w:top w:val="none" w:sz="0" w:space="0" w:color="auto"/>
        <w:left w:val="none" w:sz="0" w:space="0" w:color="auto"/>
        <w:bottom w:val="none" w:sz="0" w:space="0" w:color="auto"/>
        <w:right w:val="none" w:sz="0" w:space="0" w:color="auto"/>
      </w:divBdr>
      <w:divsChild>
        <w:div w:id="277221748">
          <w:marLeft w:val="0"/>
          <w:marRight w:val="0"/>
          <w:marTop w:val="0"/>
          <w:marBottom w:val="0"/>
          <w:divBdr>
            <w:top w:val="none" w:sz="0" w:space="0" w:color="auto"/>
            <w:left w:val="none" w:sz="0" w:space="0" w:color="auto"/>
            <w:bottom w:val="none" w:sz="0" w:space="0" w:color="auto"/>
            <w:right w:val="none" w:sz="0" w:space="0" w:color="auto"/>
          </w:divBdr>
        </w:div>
      </w:divsChild>
    </w:div>
    <w:div w:id="950480522">
      <w:bodyDiv w:val="1"/>
      <w:marLeft w:val="0"/>
      <w:marRight w:val="0"/>
      <w:marTop w:val="0"/>
      <w:marBottom w:val="0"/>
      <w:divBdr>
        <w:top w:val="none" w:sz="0" w:space="0" w:color="auto"/>
        <w:left w:val="none" w:sz="0" w:space="0" w:color="auto"/>
        <w:bottom w:val="none" w:sz="0" w:space="0" w:color="auto"/>
        <w:right w:val="none" w:sz="0" w:space="0" w:color="auto"/>
      </w:divBdr>
      <w:divsChild>
        <w:div w:id="563640540">
          <w:marLeft w:val="0"/>
          <w:marRight w:val="0"/>
          <w:marTop w:val="0"/>
          <w:marBottom w:val="0"/>
          <w:divBdr>
            <w:top w:val="none" w:sz="0" w:space="0" w:color="auto"/>
            <w:left w:val="none" w:sz="0" w:space="0" w:color="auto"/>
            <w:bottom w:val="none" w:sz="0" w:space="0" w:color="auto"/>
            <w:right w:val="none" w:sz="0" w:space="0" w:color="auto"/>
          </w:divBdr>
        </w:div>
      </w:divsChild>
    </w:div>
    <w:div w:id="1005282291">
      <w:bodyDiv w:val="1"/>
      <w:marLeft w:val="0"/>
      <w:marRight w:val="0"/>
      <w:marTop w:val="0"/>
      <w:marBottom w:val="0"/>
      <w:divBdr>
        <w:top w:val="none" w:sz="0" w:space="0" w:color="auto"/>
        <w:left w:val="none" w:sz="0" w:space="0" w:color="auto"/>
        <w:bottom w:val="none" w:sz="0" w:space="0" w:color="auto"/>
        <w:right w:val="none" w:sz="0" w:space="0" w:color="auto"/>
      </w:divBdr>
      <w:divsChild>
        <w:div w:id="343291873">
          <w:marLeft w:val="0"/>
          <w:marRight w:val="0"/>
          <w:marTop w:val="0"/>
          <w:marBottom w:val="0"/>
          <w:divBdr>
            <w:top w:val="none" w:sz="0" w:space="0" w:color="auto"/>
            <w:left w:val="none" w:sz="0" w:space="0" w:color="auto"/>
            <w:bottom w:val="none" w:sz="0" w:space="0" w:color="auto"/>
            <w:right w:val="none" w:sz="0" w:space="0" w:color="auto"/>
          </w:divBdr>
        </w:div>
      </w:divsChild>
    </w:div>
    <w:div w:id="1286699046">
      <w:bodyDiv w:val="1"/>
      <w:marLeft w:val="0"/>
      <w:marRight w:val="0"/>
      <w:marTop w:val="0"/>
      <w:marBottom w:val="0"/>
      <w:divBdr>
        <w:top w:val="none" w:sz="0" w:space="0" w:color="auto"/>
        <w:left w:val="none" w:sz="0" w:space="0" w:color="auto"/>
        <w:bottom w:val="none" w:sz="0" w:space="0" w:color="auto"/>
        <w:right w:val="none" w:sz="0" w:space="0" w:color="auto"/>
      </w:divBdr>
      <w:divsChild>
        <w:div w:id="1783650936">
          <w:marLeft w:val="0"/>
          <w:marRight w:val="0"/>
          <w:marTop w:val="0"/>
          <w:marBottom w:val="0"/>
          <w:divBdr>
            <w:top w:val="none" w:sz="0" w:space="0" w:color="auto"/>
            <w:left w:val="none" w:sz="0" w:space="0" w:color="auto"/>
            <w:bottom w:val="none" w:sz="0" w:space="0" w:color="auto"/>
            <w:right w:val="none" w:sz="0" w:space="0" w:color="auto"/>
          </w:divBdr>
        </w:div>
      </w:divsChild>
    </w:div>
    <w:div w:id="1326862451">
      <w:bodyDiv w:val="1"/>
      <w:marLeft w:val="0"/>
      <w:marRight w:val="0"/>
      <w:marTop w:val="0"/>
      <w:marBottom w:val="0"/>
      <w:divBdr>
        <w:top w:val="none" w:sz="0" w:space="0" w:color="auto"/>
        <w:left w:val="none" w:sz="0" w:space="0" w:color="auto"/>
        <w:bottom w:val="none" w:sz="0" w:space="0" w:color="auto"/>
        <w:right w:val="none" w:sz="0" w:space="0" w:color="auto"/>
      </w:divBdr>
      <w:divsChild>
        <w:div w:id="526334315">
          <w:marLeft w:val="0"/>
          <w:marRight w:val="0"/>
          <w:marTop w:val="0"/>
          <w:marBottom w:val="0"/>
          <w:divBdr>
            <w:top w:val="none" w:sz="0" w:space="0" w:color="auto"/>
            <w:left w:val="none" w:sz="0" w:space="0" w:color="auto"/>
            <w:bottom w:val="none" w:sz="0" w:space="0" w:color="auto"/>
            <w:right w:val="none" w:sz="0" w:space="0" w:color="auto"/>
          </w:divBdr>
        </w:div>
      </w:divsChild>
    </w:div>
    <w:div w:id="1383410390">
      <w:bodyDiv w:val="1"/>
      <w:marLeft w:val="0"/>
      <w:marRight w:val="0"/>
      <w:marTop w:val="0"/>
      <w:marBottom w:val="0"/>
      <w:divBdr>
        <w:top w:val="none" w:sz="0" w:space="0" w:color="auto"/>
        <w:left w:val="none" w:sz="0" w:space="0" w:color="auto"/>
        <w:bottom w:val="none" w:sz="0" w:space="0" w:color="auto"/>
        <w:right w:val="none" w:sz="0" w:space="0" w:color="auto"/>
      </w:divBdr>
      <w:divsChild>
        <w:div w:id="1705665708">
          <w:marLeft w:val="0"/>
          <w:marRight w:val="0"/>
          <w:marTop w:val="0"/>
          <w:marBottom w:val="0"/>
          <w:divBdr>
            <w:top w:val="none" w:sz="0" w:space="0" w:color="auto"/>
            <w:left w:val="none" w:sz="0" w:space="0" w:color="auto"/>
            <w:bottom w:val="none" w:sz="0" w:space="0" w:color="auto"/>
            <w:right w:val="none" w:sz="0" w:space="0" w:color="auto"/>
          </w:divBdr>
        </w:div>
      </w:divsChild>
    </w:div>
    <w:div w:id="1725442359">
      <w:bodyDiv w:val="1"/>
      <w:marLeft w:val="0"/>
      <w:marRight w:val="0"/>
      <w:marTop w:val="0"/>
      <w:marBottom w:val="0"/>
      <w:divBdr>
        <w:top w:val="none" w:sz="0" w:space="0" w:color="auto"/>
        <w:left w:val="none" w:sz="0" w:space="0" w:color="auto"/>
        <w:bottom w:val="none" w:sz="0" w:space="0" w:color="auto"/>
        <w:right w:val="none" w:sz="0" w:space="0" w:color="auto"/>
      </w:divBdr>
      <w:divsChild>
        <w:div w:id="115048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2021-05-12T18:32:00Z</dcterms:created>
  <dcterms:modified xsi:type="dcterms:W3CDTF">2021-05-12T18:32:00Z</dcterms:modified>
</cp:coreProperties>
</file>