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B83E4" w14:textId="32DED6CD" w:rsidR="009A70C9" w:rsidRDefault="009A70C9" w:rsidP="009A70C9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proofErr w:type="spellStart"/>
      <w:r>
        <w:rPr>
          <w:rStyle w:val="Strong"/>
          <w:rFonts w:ascii="Helvetica" w:hAnsi="Helvetica" w:cs="Helvetica"/>
          <w:color w:val="2D3B45"/>
        </w:rPr>
        <w:t>Prebisch</w:t>
      </w:r>
      <w:proofErr w:type="spellEnd"/>
      <w:r>
        <w:rPr>
          <w:rStyle w:val="Strong"/>
          <w:rFonts w:ascii="Helvetica" w:hAnsi="Helvetica" w:cs="Helvetica"/>
          <w:color w:val="2D3B45"/>
        </w:rPr>
        <w:t>-Singer Hypothesis (PSH)</w:t>
      </w:r>
    </w:p>
    <w:p w14:paraId="7D4F943F" w14:textId="77777777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a) What did the PSH say about the prices of primary commodities?</w:t>
      </w:r>
    </w:p>
    <w:p w14:paraId="70F72D98" w14:textId="77777777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b) What does it mean by "breaks" in this paper, and what are the drivers of these breaks (give 3 major ones)?</w:t>
      </w:r>
    </w:p>
    <w:p w14:paraId="559D1209" w14:textId="77777777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c) Which commodities have those breaks and what years?</w:t>
      </w:r>
    </w:p>
    <w:p w14:paraId="05C9B9D1" w14:textId="77777777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d) Equations on page 4 shows the models this paper is using; which variable that represent the "breaks"?</w:t>
      </w:r>
    </w:p>
    <w:p w14:paraId="26EA3289" w14:textId="77777777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e) Identify which variable in those equations that has Binary options, and what does it represent?</w:t>
      </w:r>
    </w:p>
    <w:p w14:paraId="01A180AC" w14:textId="29E3473F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f) Page 16 states that "of the 71 slope estimates, 44 are negative and significant"; what does this imply about PSH?</w:t>
      </w:r>
    </w:p>
    <w:p w14:paraId="0F310E63" w14:textId="2658665E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Link </w:t>
      </w:r>
    </w:p>
    <w:p w14:paraId="285BD9A6" w14:textId="2B96A4E1" w:rsidR="009A70C9" w:rsidRDefault="009A70C9" w:rsidP="009A70C9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4" w:history="1">
        <w:r>
          <w:rPr>
            <w:rStyle w:val="Hyperlink"/>
          </w:rPr>
          <w:t>https://www.imf.org/en/Publications/WP/Issues/2016/12/31/Testing-the-Prebisch-Singer-Hypothesis-since-1650-Evidence-from-Panel-Techniques-that-Allow-40880</w:t>
        </w:r>
      </w:hyperlink>
      <w:bookmarkStart w:id="0" w:name="_GoBack"/>
      <w:bookmarkEnd w:id="0"/>
    </w:p>
    <w:p w14:paraId="2BD2043A" w14:textId="77777777" w:rsidR="0070108C" w:rsidRDefault="0070108C"/>
    <w:sectPr w:rsidR="00701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C9"/>
    <w:rsid w:val="0070108C"/>
    <w:rsid w:val="009A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62A3B"/>
  <w15:chartTrackingRefBased/>
  <w15:docId w15:val="{0798FDCB-021F-429C-A00D-B5E9FB43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7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70C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A7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mf.org/en/Publications/WP/Issues/2016/12/31/Testing-the-Prebisch-Singer-Hypothesis-since-1650-Evidence-from-Panel-Techniques-that-Allow-408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1</cp:revision>
  <dcterms:created xsi:type="dcterms:W3CDTF">2020-05-15T23:42:00Z</dcterms:created>
  <dcterms:modified xsi:type="dcterms:W3CDTF">2020-05-15T23:44:00Z</dcterms:modified>
</cp:coreProperties>
</file>